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D0E0AD" w14:textId="7FE5B67D" w:rsidR="00C1144B" w:rsidRPr="00D116F6" w:rsidRDefault="00F06A3C" w:rsidP="007F4E6D">
      <w:pPr>
        <w:tabs>
          <w:tab w:val="center" w:pos="4536"/>
          <w:tab w:val="right" w:pos="9072"/>
        </w:tabs>
        <w:spacing w:after="0" w:line="240" w:lineRule="auto"/>
        <w:jc w:val="right"/>
        <w:rPr>
          <w:rFonts w:ascii="Times New Roman" w:hAnsi="Times New Roman" w:cs="Times New Roman"/>
          <w:b/>
          <w:i/>
          <w:sz w:val="24"/>
          <w:szCs w:val="24"/>
          <w:lang w:val="en-US"/>
        </w:rPr>
      </w:pPr>
      <w:r w:rsidRPr="00686F1F">
        <w:rPr>
          <w:rFonts w:ascii="Times New Roman" w:hAnsi="Times New Roman" w:cs="Times New Roman"/>
          <w:b/>
          <w:i/>
          <w:sz w:val="24"/>
          <w:szCs w:val="24"/>
        </w:rPr>
        <w:t xml:space="preserve">Приложение </w:t>
      </w:r>
      <w:r w:rsidR="00D116F6">
        <w:rPr>
          <w:rFonts w:ascii="Times New Roman" w:eastAsia="Calibri" w:hAnsi="Times New Roman" w:cs="Times New Roman"/>
          <w:b/>
          <w:i/>
          <w:sz w:val="24"/>
          <w:szCs w:val="24"/>
          <w:lang w:val="en-US"/>
        </w:rPr>
        <w:t>8</w:t>
      </w:r>
    </w:p>
    <w:p w14:paraId="1A48257E" w14:textId="77777777" w:rsidR="00045584" w:rsidRPr="00686F1F" w:rsidRDefault="00045584" w:rsidP="00C1144B">
      <w:pPr>
        <w:spacing w:after="0" w:line="240" w:lineRule="auto"/>
        <w:rPr>
          <w:rFonts w:ascii="Times New Roman" w:hAnsi="Times New Roman" w:cs="Times New Roman"/>
          <w:b/>
          <w:kern w:val="28"/>
          <w:sz w:val="24"/>
          <w:szCs w:val="24"/>
        </w:rPr>
      </w:pPr>
    </w:p>
    <w:p w14:paraId="5CD301AD" w14:textId="2A1E47F5" w:rsidR="00C1144B" w:rsidRPr="00686F1F" w:rsidRDefault="007F4E6D" w:rsidP="00C1144B">
      <w:pPr>
        <w:spacing w:after="0" w:line="240" w:lineRule="auto"/>
        <w:rPr>
          <w:rFonts w:ascii="Times New Roman" w:hAnsi="Times New Roman" w:cs="Times New Roman"/>
          <w:b/>
          <w:kern w:val="28"/>
          <w:sz w:val="24"/>
          <w:szCs w:val="24"/>
        </w:rPr>
      </w:pPr>
      <w:r w:rsidRPr="00686F1F">
        <w:rPr>
          <w:rFonts w:ascii="Times New Roman" w:hAnsi="Times New Roman" w:cs="Times New Roman"/>
          <w:b/>
          <w:kern w:val="28"/>
          <w:sz w:val="24"/>
          <w:szCs w:val="24"/>
          <w:lang w:val="en-US"/>
        </w:rPr>
        <w:t xml:space="preserve">I. </w:t>
      </w:r>
      <w:r w:rsidR="00C1144B" w:rsidRPr="00686F1F">
        <w:rPr>
          <w:rFonts w:ascii="Times New Roman" w:hAnsi="Times New Roman" w:cs="Times New Roman"/>
          <w:b/>
          <w:kern w:val="28"/>
          <w:sz w:val="24"/>
          <w:szCs w:val="24"/>
        </w:rPr>
        <w:t>ИЗПОЛЗВАНИ СЪКРАЩЕНИЯ</w:t>
      </w:r>
      <w:r w:rsidR="001B13CE" w:rsidRPr="00686F1F">
        <w:rPr>
          <w:rFonts w:ascii="Times New Roman" w:eastAsia="Times New Roman" w:hAnsi="Times New Roman" w:cs="Times New Roman"/>
          <w:b/>
          <w:snapToGrid w:val="0"/>
          <w:kern w:val="28"/>
          <w:sz w:val="24"/>
          <w:szCs w:val="24"/>
        </w:rPr>
        <w:t>:</w:t>
      </w:r>
    </w:p>
    <w:p w14:paraId="25F43ED0" w14:textId="77777777" w:rsidR="00C1144B" w:rsidRPr="00686F1F" w:rsidRDefault="00C1144B" w:rsidP="00C1144B">
      <w:pPr>
        <w:spacing w:after="0" w:line="240" w:lineRule="auto"/>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1"/>
        <w:gridCol w:w="6751"/>
      </w:tblGrid>
      <w:tr w:rsidR="00877B66" w:rsidRPr="00686F1F" w14:paraId="7B2A5328" w14:textId="77777777" w:rsidTr="0015065C">
        <w:tc>
          <w:tcPr>
            <w:tcW w:w="1275" w:type="pct"/>
            <w:shd w:val="clear" w:color="auto" w:fill="D9D9D9"/>
          </w:tcPr>
          <w:p w14:paraId="1995C99D" w14:textId="76E779D3" w:rsidR="00877B66" w:rsidRPr="00686F1F" w:rsidRDefault="00877B66"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АДПБФП</w:t>
            </w:r>
          </w:p>
        </w:tc>
        <w:tc>
          <w:tcPr>
            <w:tcW w:w="3725" w:type="pct"/>
            <w:shd w:val="clear" w:color="auto" w:fill="F3F3F3"/>
          </w:tcPr>
          <w:p w14:paraId="22644150" w14:textId="2C9A7AE5" w:rsidR="00877B66" w:rsidRPr="00686F1F" w:rsidRDefault="00877B66" w:rsidP="00877B66">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Административен договор за предоставяне на безвъзмездна финансова помощ</w:t>
            </w:r>
          </w:p>
        </w:tc>
      </w:tr>
      <w:tr w:rsidR="0015065C" w:rsidRPr="00686F1F" w14:paraId="23CCD771" w14:textId="77777777" w:rsidTr="0015065C">
        <w:tc>
          <w:tcPr>
            <w:tcW w:w="1275" w:type="pct"/>
            <w:shd w:val="clear" w:color="auto" w:fill="D9D9D9"/>
          </w:tcPr>
          <w:p w14:paraId="261A79CC" w14:textId="77777777" w:rsidR="00F25879" w:rsidRPr="00686F1F" w:rsidRDefault="00F25879"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БНБ</w:t>
            </w:r>
          </w:p>
        </w:tc>
        <w:tc>
          <w:tcPr>
            <w:tcW w:w="3725" w:type="pct"/>
            <w:shd w:val="clear" w:color="auto" w:fill="F3F3F3"/>
          </w:tcPr>
          <w:p w14:paraId="60BF3E7B" w14:textId="77777777" w:rsidR="00F25879" w:rsidRPr="00686F1F" w:rsidRDefault="00F25879"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Българска народна банка</w:t>
            </w:r>
          </w:p>
        </w:tc>
      </w:tr>
      <w:tr w:rsidR="00877B66" w:rsidRPr="00686F1F" w14:paraId="3EAB11F0" w14:textId="77777777" w:rsidTr="0015065C">
        <w:tc>
          <w:tcPr>
            <w:tcW w:w="1275" w:type="pct"/>
            <w:shd w:val="clear" w:color="auto" w:fill="D9D9D9"/>
          </w:tcPr>
          <w:p w14:paraId="0E0487D8" w14:textId="12829884" w:rsidR="00877B66" w:rsidRPr="00686F1F" w:rsidRDefault="00877B66"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БФП</w:t>
            </w:r>
          </w:p>
        </w:tc>
        <w:tc>
          <w:tcPr>
            <w:tcW w:w="3725" w:type="pct"/>
            <w:shd w:val="clear" w:color="auto" w:fill="F3F3F3"/>
          </w:tcPr>
          <w:p w14:paraId="5EDC2602" w14:textId="3045C2CD" w:rsidR="00877B66" w:rsidRPr="00686F1F" w:rsidRDefault="00877B66"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Безвъзмездна финансова помощ</w:t>
            </w:r>
          </w:p>
        </w:tc>
      </w:tr>
      <w:tr w:rsidR="0015065C" w:rsidRPr="00686F1F" w14:paraId="13713C59" w14:textId="77777777" w:rsidTr="0015065C">
        <w:tc>
          <w:tcPr>
            <w:tcW w:w="1275" w:type="pct"/>
            <w:shd w:val="clear" w:color="auto" w:fill="D9D9D9"/>
          </w:tcPr>
          <w:p w14:paraId="0471CCF7" w14:textId="696D411F" w:rsidR="00C1144B" w:rsidRPr="00686F1F" w:rsidRDefault="00D96AAD" w:rsidP="00D25062">
            <w:pPr>
              <w:spacing w:after="0" w:line="240" w:lineRule="auto"/>
              <w:ind w:left="288" w:right="288"/>
              <w:rPr>
                <w:rFonts w:ascii="Times New Roman" w:hAnsi="Times New Roman" w:cs="Times New Roman"/>
                <w:b/>
                <w:sz w:val="24"/>
                <w:szCs w:val="24"/>
              </w:rPr>
            </w:pPr>
            <w:r>
              <w:rPr>
                <w:rFonts w:ascii="Times New Roman" w:hAnsi="Times New Roman" w:cs="Times New Roman"/>
                <w:b/>
                <w:sz w:val="24"/>
                <w:szCs w:val="24"/>
              </w:rPr>
              <w:t xml:space="preserve">ГД </w:t>
            </w:r>
            <w:r w:rsidR="00636410">
              <w:rPr>
                <w:rFonts w:ascii="Times New Roman" w:hAnsi="Times New Roman" w:cs="Times New Roman"/>
                <w:b/>
                <w:sz w:val="24"/>
                <w:szCs w:val="24"/>
              </w:rPr>
              <w:t>ЕФК</w:t>
            </w:r>
          </w:p>
        </w:tc>
        <w:tc>
          <w:tcPr>
            <w:tcW w:w="3725" w:type="pct"/>
            <w:shd w:val="clear" w:color="auto" w:fill="F3F3F3"/>
          </w:tcPr>
          <w:p w14:paraId="1CD0DB13" w14:textId="6017E18F" w:rsidR="00C1144B" w:rsidRPr="00686F1F" w:rsidRDefault="00D96AAD" w:rsidP="00D25062">
            <w:pPr>
              <w:spacing w:after="0" w:line="240" w:lineRule="auto"/>
              <w:ind w:left="288" w:right="288"/>
              <w:rPr>
                <w:rFonts w:ascii="Times New Roman" w:hAnsi="Times New Roman" w:cs="Times New Roman"/>
                <w:b/>
                <w:sz w:val="24"/>
                <w:szCs w:val="24"/>
              </w:rPr>
            </w:pPr>
            <w:r>
              <w:rPr>
                <w:rFonts w:ascii="Times New Roman" w:hAnsi="Times New Roman" w:cs="Times New Roman"/>
                <w:b/>
                <w:sz w:val="24"/>
                <w:szCs w:val="24"/>
              </w:rPr>
              <w:t xml:space="preserve">Главна дирекция </w:t>
            </w:r>
            <w:r w:rsidR="00636410" w:rsidRPr="00636410">
              <w:rPr>
                <w:rFonts w:ascii="Times New Roman" w:hAnsi="Times New Roman" w:cs="Times New Roman"/>
                <w:b/>
                <w:sz w:val="24"/>
                <w:szCs w:val="24"/>
              </w:rPr>
              <w:t>„Европейски фондове за конкурентоспособност“</w:t>
            </w:r>
          </w:p>
        </w:tc>
      </w:tr>
      <w:tr w:rsidR="0015065C" w:rsidRPr="00686F1F" w14:paraId="5CE365C9" w14:textId="77777777" w:rsidTr="0015065C">
        <w:tc>
          <w:tcPr>
            <w:tcW w:w="1275" w:type="pct"/>
            <w:shd w:val="clear" w:color="auto" w:fill="D9D9D9"/>
          </w:tcPr>
          <w:p w14:paraId="7A24F101" w14:textId="77777777" w:rsidR="00C1144B" w:rsidRPr="00686F1F" w:rsidRDefault="00C1144B"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ДДС</w:t>
            </w:r>
          </w:p>
        </w:tc>
        <w:tc>
          <w:tcPr>
            <w:tcW w:w="3725" w:type="pct"/>
            <w:shd w:val="clear" w:color="auto" w:fill="F3F3F3"/>
          </w:tcPr>
          <w:p w14:paraId="763EA8EC" w14:textId="77777777" w:rsidR="00C1144B" w:rsidRPr="00686F1F" w:rsidRDefault="00C1144B"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Данък добавена стойност</w:t>
            </w:r>
          </w:p>
        </w:tc>
      </w:tr>
      <w:tr w:rsidR="0015065C" w:rsidRPr="00686F1F" w14:paraId="7ABF82C5" w14:textId="77777777" w:rsidTr="0015065C">
        <w:tc>
          <w:tcPr>
            <w:tcW w:w="1275" w:type="pct"/>
            <w:shd w:val="clear" w:color="auto" w:fill="D9D9D9"/>
          </w:tcPr>
          <w:p w14:paraId="1AC4BA32" w14:textId="77777777" w:rsidR="00C1144B" w:rsidRPr="00686F1F" w:rsidRDefault="00C1144B"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ДМА</w:t>
            </w:r>
          </w:p>
        </w:tc>
        <w:tc>
          <w:tcPr>
            <w:tcW w:w="3725" w:type="pct"/>
            <w:shd w:val="clear" w:color="auto" w:fill="F3F3F3"/>
          </w:tcPr>
          <w:p w14:paraId="0827D268" w14:textId="77777777" w:rsidR="00C1144B" w:rsidRPr="00686F1F" w:rsidRDefault="00C1144B"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Дълготрайни материални активи</w:t>
            </w:r>
          </w:p>
        </w:tc>
      </w:tr>
      <w:tr w:rsidR="0015065C" w:rsidRPr="00686F1F" w14:paraId="08CD7F07" w14:textId="77777777" w:rsidTr="0015065C">
        <w:tc>
          <w:tcPr>
            <w:tcW w:w="1275" w:type="pct"/>
            <w:shd w:val="clear" w:color="auto" w:fill="D9D9D9"/>
          </w:tcPr>
          <w:p w14:paraId="2008B91A" w14:textId="77777777" w:rsidR="00C1144B" w:rsidRPr="00686F1F" w:rsidRDefault="00C1144B"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ДНА</w:t>
            </w:r>
          </w:p>
        </w:tc>
        <w:tc>
          <w:tcPr>
            <w:tcW w:w="3725" w:type="pct"/>
            <w:shd w:val="clear" w:color="auto" w:fill="F3F3F3"/>
          </w:tcPr>
          <w:p w14:paraId="09B1E5E7" w14:textId="77777777" w:rsidR="00C1144B" w:rsidRPr="00686F1F" w:rsidRDefault="00C1144B"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Дълготрайни нематериални активи</w:t>
            </w:r>
          </w:p>
        </w:tc>
      </w:tr>
      <w:tr w:rsidR="0015065C" w:rsidRPr="00686F1F" w14:paraId="4C6C8A8D" w14:textId="77777777" w:rsidTr="0015065C">
        <w:tc>
          <w:tcPr>
            <w:tcW w:w="1275" w:type="pct"/>
            <w:shd w:val="clear" w:color="auto" w:fill="D9D9D9"/>
          </w:tcPr>
          <w:p w14:paraId="4E8ED42F" w14:textId="77777777" w:rsidR="00C1144B" w:rsidRPr="00686F1F" w:rsidRDefault="00C1144B"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ДНФ</w:t>
            </w:r>
          </w:p>
        </w:tc>
        <w:tc>
          <w:tcPr>
            <w:tcW w:w="3725" w:type="pct"/>
            <w:shd w:val="clear" w:color="auto" w:fill="F3F3F3"/>
          </w:tcPr>
          <w:p w14:paraId="30E49673" w14:textId="3479D99B" w:rsidR="00C1144B" w:rsidRPr="00686F1F" w:rsidRDefault="00C1144B" w:rsidP="00D25062">
            <w:pPr>
              <w:spacing w:after="0" w:line="240" w:lineRule="auto"/>
              <w:ind w:left="289" w:right="289"/>
              <w:rPr>
                <w:rFonts w:ascii="Times New Roman" w:hAnsi="Times New Roman" w:cs="Times New Roman"/>
                <w:b/>
                <w:sz w:val="24"/>
                <w:szCs w:val="24"/>
              </w:rPr>
            </w:pPr>
            <w:r w:rsidRPr="00686F1F">
              <w:rPr>
                <w:rFonts w:ascii="Times New Roman" w:hAnsi="Times New Roman" w:cs="Times New Roman"/>
                <w:b/>
                <w:sz w:val="24"/>
                <w:szCs w:val="24"/>
              </w:rPr>
              <w:t xml:space="preserve">Дирекция „Национален фонд”, Министерство на финансите </w:t>
            </w:r>
          </w:p>
        </w:tc>
      </w:tr>
      <w:tr w:rsidR="0015065C" w:rsidRPr="00686F1F" w14:paraId="2BC7A527" w14:textId="77777777" w:rsidTr="0015065C">
        <w:tc>
          <w:tcPr>
            <w:tcW w:w="1275" w:type="pct"/>
            <w:shd w:val="clear" w:color="auto" w:fill="D9D9D9"/>
          </w:tcPr>
          <w:p w14:paraId="7B0C15B7" w14:textId="77777777" w:rsidR="00D55DC2" w:rsidRPr="00686F1F" w:rsidRDefault="00D55DC2"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ДОПК</w:t>
            </w:r>
          </w:p>
        </w:tc>
        <w:tc>
          <w:tcPr>
            <w:tcW w:w="3725" w:type="pct"/>
            <w:shd w:val="clear" w:color="auto" w:fill="F3F3F3"/>
          </w:tcPr>
          <w:p w14:paraId="19AA0D29" w14:textId="6217F822" w:rsidR="00D55DC2" w:rsidRPr="00686F1F" w:rsidRDefault="000D040C" w:rsidP="00D25062">
            <w:pPr>
              <w:spacing w:before="120" w:after="0" w:line="120" w:lineRule="auto"/>
              <w:ind w:left="289" w:right="289"/>
              <w:rPr>
                <w:rFonts w:ascii="Times New Roman" w:hAnsi="Times New Roman" w:cs="Times New Roman"/>
                <w:b/>
                <w:sz w:val="24"/>
                <w:szCs w:val="24"/>
              </w:rPr>
            </w:pPr>
            <w:r w:rsidRPr="00686F1F">
              <w:rPr>
                <w:rFonts w:ascii="Times New Roman" w:hAnsi="Times New Roman" w:cs="Times New Roman"/>
                <w:b/>
                <w:sz w:val="24"/>
                <w:szCs w:val="24"/>
              </w:rPr>
              <w:t>Данъчно-</w:t>
            </w:r>
            <w:r w:rsidRPr="00686F1F">
              <w:rPr>
                <w:rFonts w:ascii="Times New Roman" w:eastAsia="Times New Roman" w:hAnsi="Times New Roman" w:cs="Times New Roman"/>
                <w:b/>
                <w:snapToGrid w:val="0"/>
                <w:sz w:val="24"/>
                <w:szCs w:val="24"/>
              </w:rPr>
              <w:t>осигурител</w:t>
            </w:r>
            <w:r w:rsidRPr="00686F1F">
              <w:rPr>
                <w:rFonts w:ascii="Times New Roman" w:eastAsia="Times New Roman" w:hAnsi="Times New Roman" w:cs="Times New Roman"/>
                <w:b/>
                <w:snapToGrid w:val="0"/>
                <w:sz w:val="24"/>
                <w:szCs w:val="24"/>
                <w:lang w:val="en-US"/>
              </w:rPr>
              <w:t>e</w:t>
            </w:r>
            <w:r w:rsidR="00244EF0" w:rsidRPr="00686F1F">
              <w:rPr>
                <w:rFonts w:ascii="Times New Roman" w:eastAsia="Times New Roman" w:hAnsi="Times New Roman" w:cs="Times New Roman"/>
                <w:b/>
                <w:snapToGrid w:val="0"/>
                <w:sz w:val="24"/>
                <w:szCs w:val="24"/>
              </w:rPr>
              <w:t>н</w:t>
            </w:r>
            <w:r w:rsidR="00D55DC2" w:rsidRPr="00686F1F">
              <w:rPr>
                <w:rFonts w:ascii="Times New Roman" w:hAnsi="Times New Roman" w:cs="Times New Roman"/>
                <w:b/>
                <w:sz w:val="24"/>
                <w:szCs w:val="24"/>
              </w:rPr>
              <w:t xml:space="preserve"> процесуален кодекс</w:t>
            </w:r>
          </w:p>
        </w:tc>
      </w:tr>
      <w:tr w:rsidR="0015065C" w:rsidRPr="00686F1F" w14:paraId="46A4FFFC" w14:textId="77777777" w:rsidTr="0015065C">
        <w:tc>
          <w:tcPr>
            <w:tcW w:w="1275" w:type="pct"/>
            <w:shd w:val="clear" w:color="auto" w:fill="D9D9D9"/>
          </w:tcPr>
          <w:p w14:paraId="2517990B" w14:textId="77777777" w:rsidR="00C1144B" w:rsidRPr="00686F1F" w:rsidRDefault="00C1144B"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ЕК</w:t>
            </w:r>
          </w:p>
        </w:tc>
        <w:tc>
          <w:tcPr>
            <w:tcW w:w="3725" w:type="pct"/>
            <w:shd w:val="clear" w:color="auto" w:fill="F3F3F3"/>
          </w:tcPr>
          <w:p w14:paraId="1557069A" w14:textId="77777777" w:rsidR="00C1144B" w:rsidRPr="00686F1F" w:rsidRDefault="00C1144B"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Европейска комисия</w:t>
            </w:r>
          </w:p>
        </w:tc>
      </w:tr>
      <w:tr w:rsidR="0015065C" w:rsidRPr="00686F1F" w14:paraId="402E934D" w14:textId="77777777" w:rsidTr="0015065C">
        <w:tc>
          <w:tcPr>
            <w:tcW w:w="1275" w:type="pct"/>
            <w:shd w:val="clear" w:color="auto" w:fill="D9D9D9"/>
          </w:tcPr>
          <w:p w14:paraId="42FD4FAC" w14:textId="77777777" w:rsidR="00C1144B" w:rsidRPr="00686F1F" w:rsidRDefault="00C1144B"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ЕО</w:t>
            </w:r>
          </w:p>
        </w:tc>
        <w:tc>
          <w:tcPr>
            <w:tcW w:w="3725" w:type="pct"/>
            <w:shd w:val="clear" w:color="auto" w:fill="F3F3F3"/>
          </w:tcPr>
          <w:p w14:paraId="0AE64D42" w14:textId="77777777" w:rsidR="00C1144B" w:rsidRPr="00686F1F" w:rsidRDefault="00C1144B"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Европейска общност</w:t>
            </w:r>
          </w:p>
        </w:tc>
      </w:tr>
      <w:tr w:rsidR="0015065C" w:rsidRPr="00686F1F" w14:paraId="74E09591" w14:textId="77777777" w:rsidTr="0015065C">
        <w:tc>
          <w:tcPr>
            <w:tcW w:w="1275" w:type="pct"/>
            <w:shd w:val="clear" w:color="auto" w:fill="D9D9D9"/>
          </w:tcPr>
          <w:p w14:paraId="55D5BEE6" w14:textId="77777777" w:rsidR="00C1144B" w:rsidRPr="00686F1F" w:rsidRDefault="00C1144B"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ЕС</w:t>
            </w:r>
          </w:p>
        </w:tc>
        <w:tc>
          <w:tcPr>
            <w:tcW w:w="3725" w:type="pct"/>
            <w:shd w:val="clear" w:color="auto" w:fill="F3F3F3"/>
          </w:tcPr>
          <w:p w14:paraId="040953CD" w14:textId="77777777" w:rsidR="00C1144B" w:rsidRPr="00686F1F" w:rsidRDefault="00C1144B" w:rsidP="00D25062">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Европейски съюз</w:t>
            </w:r>
          </w:p>
        </w:tc>
      </w:tr>
      <w:tr w:rsidR="0015065C" w:rsidRPr="00686F1F" w14:paraId="2B2A6DA1" w14:textId="77777777" w:rsidTr="0015065C">
        <w:tc>
          <w:tcPr>
            <w:tcW w:w="1275" w:type="pct"/>
            <w:shd w:val="clear" w:color="auto" w:fill="D9D9D9"/>
          </w:tcPr>
          <w:p w14:paraId="1F29FDB7" w14:textId="1C286A6D"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eastAsia="Times New Roman" w:hAnsi="Times New Roman" w:cs="Times New Roman"/>
                <w:b/>
                <w:snapToGrid w:val="0"/>
                <w:sz w:val="24"/>
                <w:szCs w:val="24"/>
              </w:rPr>
              <w:t>ЕФСУ</w:t>
            </w:r>
          </w:p>
        </w:tc>
        <w:tc>
          <w:tcPr>
            <w:tcW w:w="3725" w:type="pct"/>
            <w:shd w:val="clear" w:color="auto" w:fill="F3F3F3"/>
          </w:tcPr>
          <w:p w14:paraId="28F71D43" w14:textId="29633719"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eastAsia="Times New Roman" w:hAnsi="Times New Roman" w:cs="Times New Roman"/>
                <w:b/>
                <w:snapToGrid w:val="0"/>
                <w:sz w:val="24"/>
                <w:szCs w:val="24"/>
              </w:rPr>
              <w:t>Европейски фондове при споделено управление</w:t>
            </w:r>
          </w:p>
        </w:tc>
      </w:tr>
      <w:tr w:rsidR="0015065C" w:rsidRPr="00686F1F" w14:paraId="63DCEEC0" w14:textId="77777777" w:rsidTr="0015065C">
        <w:tc>
          <w:tcPr>
            <w:tcW w:w="1275" w:type="pct"/>
            <w:shd w:val="clear" w:color="auto" w:fill="D9D9D9"/>
          </w:tcPr>
          <w:p w14:paraId="5CEFE7E3"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ЕСФ</w:t>
            </w:r>
          </w:p>
        </w:tc>
        <w:tc>
          <w:tcPr>
            <w:tcW w:w="3725" w:type="pct"/>
            <w:shd w:val="clear" w:color="auto" w:fill="F3F3F3"/>
          </w:tcPr>
          <w:p w14:paraId="7A9FE9E5"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Европейски социален фонд</w:t>
            </w:r>
          </w:p>
        </w:tc>
      </w:tr>
      <w:tr w:rsidR="0015065C" w:rsidRPr="00686F1F" w14:paraId="591A68C8" w14:textId="77777777" w:rsidTr="0015065C">
        <w:tc>
          <w:tcPr>
            <w:tcW w:w="1275" w:type="pct"/>
            <w:shd w:val="clear" w:color="auto" w:fill="D9D9D9"/>
          </w:tcPr>
          <w:p w14:paraId="2DC01FA1"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ЕФРР</w:t>
            </w:r>
          </w:p>
        </w:tc>
        <w:tc>
          <w:tcPr>
            <w:tcW w:w="3725" w:type="pct"/>
            <w:shd w:val="clear" w:color="auto" w:fill="F3F3F3"/>
          </w:tcPr>
          <w:p w14:paraId="3E8A4233"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Европейски фонд за регионално развитие</w:t>
            </w:r>
          </w:p>
        </w:tc>
      </w:tr>
      <w:tr w:rsidR="0015065C" w:rsidRPr="00686F1F" w14:paraId="3133DB43" w14:textId="77777777" w:rsidTr="0015065C">
        <w:tc>
          <w:tcPr>
            <w:tcW w:w="1275" w:type="pct"/>
            <w:shd w:val="clear" w:color="auto" w:fill="D9D9D9"/>
          </w:tcPr>
          <w:p w14:paraId="65329AB8"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ЗКПО</w:t>
            </w:r>
          </w:p>
        </w:tc>
        <w:tc>
          <w:tcPr>
            <w:tcW w:w="3725" w:type="pct"/>
            <w:shd w:val="clear" w:color="auto" w:fill="F3F3F3"/>
          </w:tcPr>
          <w:p w14:paraId="61666B6B"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Закон за корпоративното подоходно облагане</w:t>
            </w:r>
          </w:p>
        </w:tc>
      </w:tr>
      <w:tr w:rsidR="0015065C" w:rsidRPr="00686F1F" w14:paraId="512F094C" w14:textId="77777777" w:rsidTr="0015065C">
        <w:tc>
          <w:tcPr>
            <w:tcW w:w="1275" w:type="pct"/>
            <w:shd w:val="clear" w:color="auto" w:fill="D9D9D9"/>
          </w:tcPr>
          <w:p w14:paraId="2D6F68B1"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ЗМСП</w:t>
            </w:r>
          </w:p>
        </w:tc>
        <w:tc>
          <w:tcPr>
            <w:tcW w:w="3725" w:type="pct"/>
            <w:shd w:val="clear" w:color="auto" w:fill="F3F3F3"/>
          </w:tcPr>
          <w:p w14:paraId="26100F7E"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Закон за малките и средните предприятия</w:t>
            </w:r>
          </w:p>
        </w:tc>
      </w:tr>
      <w:tr w:rsidR="0015065C" w:rsidRPr="00686F1F" w14:paraId="2576C7B1" w14:textId="77777777" w:rsidTr="0015065C">
        <w:tc>
          <w:tcPr>
            <w:tcW w:w="1275" w:type="pct"/>
            <w:shd w:val="clear" w:color="auto" w:fill="D9D9D9"/>
          </w:tcPr>
          <w:p w14:paraId="14848F1D"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ЗОП</w:t>
            </w:r>
          </w:p>
        </w:tc>
        <w:tc>
          <w:tcPr>
            <w:tcW w:w="3725" w:type="pct"/>
            <w:shd w:val="clear" w:color="auto" w:fill="F3F3F3"/>
          </w:tcPr>
          <w:p w14:paraId="3C731198"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Закон за обществените поръчки</w:t>
            </w:r>
          </w:p>
        </w:tc>
      </w:tr>
      <w:tr w:rsidR="0015065C" w:rsidRPr="00686F1F" w14:paraId="548158A8" w14:textId="77777777" w:rsidTr="0015065C">
        <w:tc>
          <w:tcPr>
            <w:tcW w:w="1275" w:type="pct"/>
            <w:shd w:val="clear" w:color="auto" w:fill="D9D9D9"/>
          </w:tcPr>
          <w:p w14:paraId="58D7921D"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ЗТР</w:t>
            </w:r>
          </w:p>
        </w:tc>
        <w:tc>
          <w:tcPr>
            <w:tcW w:w="3725" w:type="pct"/>
            <w:shd w:val="clear" w:color="auto" w:fill="F3F3F3"/>
          </w:tcPr>
          <w:p w14:paraId="610D40F1"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Закон за търговския регистър</w:t>
            </w:r>
          </w:p>
        </w:tc>
      </w:tr>
      <w:tr w:rsidR="0015065C" w:rsidRPr="00686F1F" w14:paraId="7FC08A94" w14:textId="77777777" w:rsidTr="00D231D2">
        <w:trPr>
          <w:trHeight w:val="620"/>
        </w:trPr>
        <w:tc>
          <w:tcPr>
            <w:tcW w:w="1275" w:type="pct"/>
            <w:shd w:val="clear" w:color="auto" w:fill="D9D9D9"/>
          </w:tcPr>
          <w:p w14:paraId="01330F95" w14:textId="6F53B139" w:rsidR="0015065C" w:rsidRPr="00686F1F" w:rsidRDefault="0015065C" w:rsidP="0015065C">
            <w:pPr>
              <w:spacing w:before="120" w:after="120" w:line="120" w:lineRule="auto"/>
              <w:ind w:left="288" w:right="288"/>
              <w:rPr>
                <w:rFonts w:ascii="Times New Roman" w:eastAsia="Times New Roman" w:hAnsi="Times New Roman" w:cs="Times New Roman"/>
                <w:b/>
                <w:snapToGrid w:val="0"/>
                <w:sz w:val="24"/>
                <w:szCs w:val="24"/>
              </w:rPr>
            </w:pPr>
            <w:r w:rsidRPr="00686F1F">
              <w:rPr>
                <w:rFonts w:ascii="Times New Roman" w:eastAsia="Times New Roman" w:hAnsi="Times New Roman" w:cs="Times New Roman"/>
                <w:b/>
                <w:snapToGrid w:val="0"/>
                <w:sz w:val="24"/>
                <w:szCs w:val="24"/>
              </w:rPr>
              <w:t>ЗУСЕФСУ</w:t>
            </w:r>
          </w:p>
        </w:tc>
        <w:tc>
          <w:tcPr>
            <w:tcW w:w="3725" w:type="pct"/>
            <w:shd w:val="clear" w:color="auto" w:fill="F3F3F3"/>
          </w:tcPr>
          <w:p w14:paraId="1EE985D9" w14:textId="37BC042B" w:rsidR="0015065C" w:rsidRPr="00686F1F" w:rsidRDefault="0015065C" w:rsidP="0015065C">
            <w:pPr>
              <w:spacing w:before="120" w:after="120" w:line="240" w:lineRule="auto"/>
              <w:ind w:left="288" w:right="288"/>
              <w:rPr>
                <w:rFonts w:ascii="Times New Roman" w:eastAsia="Times New Roman" w:hAnsi="Times New Roman" w:cs="Times New Roman"/>
                <w:b/>
                <w:snapToGrid w:val="0"/>
                <w:sz w:val="24"/>
                <w:szCs w:val="24"/>
              </w:rPr>
            </w:pPr>
            <w:r w:rsidRPr="00686F1F">
              <w:rPr>
                <w:rFonts w:ascii="Times New Roman" w:eastAsia="Times New Roman" w:hAnsi="Times New Roman" w:cs="Times New Roman"/>
                <w:b/>
                <w:snapToGrid w:val="0"/>
                <w:sz w:val="24"/>
                <w:szCs w:val="24"/>
              </w:rPr>
              <w:t>Закон за управление на средствата от Европейските фондовете при споделено управление</w:t>
            </w:r>
          </w:p>
        </w:tc>
      </w:tr>
      <w:tr w:rsidR="0015065C" w:rsidRPr="00686F1F" w14:paraId="77A0C39C" w14:textId="77777777" w:rsidTr="00D231D2">
        <w:trPr>
          <w:trHeight w:val="234"/>
        </w:trPr>
        <w:tc>
          <w:tcPr>
            <w:tcW w:w="1275" w:type="pct"/>
            <w:shd w:val="clear" w:color="auto" w:fill="D9D9D9"/>
          </w:tcPr>
          <w:p w14:paraId="189156AD" w14:textId="122815B8" w:rsidR="0015065C" w:rsidRPr="00686F1F" w:rsidRDefault="0015065C" w:rsidP="0015065C">
            <w:pPr>
              <w:spacing w:before="120" w:after="120" w:line="120" w:lineRule="auto"/>
              <w:ind w:left="288" w:right="288"/>
              <w:rPr>
                <w:rFonts w:ascii="Times New Roman" w:eastAsia="Times New Roman" w:hAnsi="Times New Roman" w:cs="Times New Roman"/>
                <w:b/>
                <w:snapToGrid w:val="0"/>
                <w:sz w:val="24"/>
                <w:szCs w:val="24"/>
              </w:rPr>
            </w:pPr>
            <w:r w:rsidRPr="00686F1F">
              <w:rPr>
                <w:rFonts w:ascii="Times New Roman" w:eastAsia="Times New Roman" w:hAnsi="Times New Roman" w:cs="Times New Roman"/>
                <w:b/>
                <w:snapToGrid w:val="0"/>
                <w:sz w:val="24"/>
                <w:szCs w:val="24"/>
              </w:rPr>
              <w:t>ИСУН</w:t>
            </w:r>
          </w:p>
        </w:tc>
        <w:tc>
          <w:tcPr>
            <w:tcW w:w="3725" w:type="pct"/>
            <w:shd w:val="clear" w:color="auto" w:fill="F3F3F3"/>
          </w:tcPr>
          <w:p w14:paraId="1AB6F34E" w14:textId="040105AD" w:rsidR="0015065C" w:rsidRPr="00686F1F" w:rsidRDefault="0015065C" w:rsidP="0015065C">
            <w:pPr>
              <w:spacing w:before="120" w:after="120" w:line="120" w:lineRule="auto"/>
              <w:ind w:left="288" w:right="288"/>
              <w:rPr>
                <w:rFonts w:ascii="Times New Roman" w:eastAsia="Times New Roman" w:hAnsi="Times New Roman" w:cs="Times New Roman"/>
                <w:b/>
                <w:snapToGrid w:val="0"/>
                <w:sz w:val="24"/>
                <w:szCs w:val="24"/>
              </w:rPr>
            </w:pPr>
            <w:r w:rsidRPr="00686F1F">
              <w:rPr>
                <w:rFonts w:ascii="Times New Roman" w:eastAsia="Times New Roman" w:hAnsi="Times New Roman" w:cs="Times New Roman"/>
                <w:b/>
                <w:snapToGrid w:val="0"/>
                <w:sz w:val="24"/>
                <w:szCs w:val="24"/>
              </w:rPr>
              <w:t>Информационна система за управление и наблюдение</w:t>
            </w:r>
          </w:p>
        </w:tc>
      </w:tr>
      <w:tr w:rsidR="0015065C" w:rsidRPr="00686F1F" w14:paraId="7EE1A4B8" w14:textId="77777777" w:rsidTr="0015065C">
        <w:tc>
          <w:tcPr>
            <w:tcW w:w="1275" w:type="pct"/>
            <w:shd w:val="clear" w:color="auto" w:fill="D9D9D9"/>
          </w:tcPr>
          <w:p w14:paraId="6D7D346D" w14:textId="77777777" w:rsidR="0015065C" w:rsidRPr="00686F1F" w:rsidRDefault="0015065C" w:rsidP="0015065C">
            <w:pPr>
              <w:spacing w:before="120" w:after="120" w:line="120" w:lineRule="auto"/>
              <w:ind w:left="288" w:right="288"/>
              <w:rPr>
                <w:rFonts w:ascii="Times New Roman" w:eastAsia="Times New Roman" w:hAnsi="Times New Roman" w:cs="Times New Roman"/>
                <w:b/>
                <w:snapToGrid w:val="0"/>
                <w:sz w:val="24"/>
                <w:szCs w:val="24"/>
              </w:rPr>
            </w:pPr>
            <w:bookmarkStart w:id="0" w:name="_GoBack"/>
            <w:bookmarkEnd w:id="0"/>
            <w:r w:rsidRPr="00686F1F">
              <w:rPr>
                <w:rFonts w:ascii="Times New Roman" w:eastAsia="Times New Roman" w:hAnsi="Times New Roman" w:cs="Times New Roman"/>
                <w:b/>
                <w:snapToGrid w:val="0"/>
                <w:sz w:val="24"/>
                <w:szCs w:val="24"/>
              </w:rPr>
              <w:t>КЕП</w:t>
            </w:r>
          </w:p>
        </w:tc>
        <w:tc>
          <w:tcPr>
            <w:tcW w:w="3725" w:type="pct"/>
            <w:shd w:val="clear" w:color="auto" w:fill="F3F3F3"/>
          </w:tcPr>
          <w:p w14:paraId="77512411" w14:textId="77777777" w:rsidR="0015065C" w:rsidRPr="00686F1F" w:rsidRDefault="0015065C" w:rsidP="0015065C">
            <w:pPr>
              <w:spacing w:before="120" w:after="120" w:line="120" w:lineRule="auto"/>
              <w:ind w:left="288" w:right="288"/>
              <w:rPr>
                <w:rFonts w:ascii="Times New Roman" w:eastAsia="Times New Roman" w:hAnsi="Times New Roman" w:cs="Times New Roman"/>
                <w:b/>
                <w:snapToGrid w:val="0"/>
                <w:sz w:val="24"/>
                <w:szCs w:val="24"/>
              </w:rPr>
            </w:pPr>
            <w:r w:rsidRPr="00686F1F">
              <w:rPr>
                <w:rFonts w:ascii="Times New Roman" w:eastAsia="Times New Roman" w:hAnsi="Times New Roman" w:cs="Times New Roman"/>
                <w:b/>
                <w:snapToGrid w:val="0"/>
                <w:sz w:val="24"/>
                <w:szCs w:val="24"/>
              </w:rPr>
              <w:t>Квалифициран електронен подпис</w:t>
            </w:r>
          </w:p>
        </w:tc>
      </w:tr>
      <w:tr w:rsidR="0015065C" w:rsidRPr="00686F1F" w14:paraId="0E8B747C" w14:textId="77777777" w:rsidTr="0015065C">
        <w:tc>
          <w:tcPr>
            <w:tcW w:w="1275" w:type="pct"/>
            <w:shd w:val="clear" w:color="auto" w:fill="D9D9D9"/>
          </w:tcPr>
          <w:p w14:paraId="64972344" w14:textId="5502D361" w:rsidR="0015065C" w:rsidRPr="00686F1F" w:rsidRDefault="0015065C" w:rsidP="0015065C">
            <w:pPr>
              <w:spacing w:before="120" w:after="120" w:line="120" w:lineRule="auto"/>
              <w:ind w:left="288" w:right="288"/>
              <w:rPr>
                <w:rFonts w:ascii="Times New Roman" w:eastAsia="Times New Roman" w:hAnsi="Times New Roman" w:cs="Times New Roman"/>
                <w:b/>
                <w:snapToGrid w:val="0"/>
                <w:sz w:val="24"/>
                <w:szCs w:val="24"/>
              </w:rPr>
            </w:pPr>
            <w:r w:rsidRPr="00686F1F">
              <w:rPr>
                <w:rFonts w:ascii="Times New Roman" w:eastAsia="Times New Roman" w:hAnsi="Times New Roman" w:cs="Times New Roman"/>
                <w:b/>
                <w:snapToGrid w:val="0"/>
                <w:sz w:val="24"/>
                <w:szCs w:val="24"/>
              </w:rPr>
              <w:t>КН</w:t>
            </w:r>
          </w:p>
        </w:tc>
        <w:tc>
          <w:tcPr>
            <w:tcW w:w="3725" w:type="pct"/>
            <w:shd w:val="clear" w:color="auto" w:fill="F3F3F3"/>
          </w:tcPr>
          <w:p w14:paraId="1530DC98" w14:textId="6874141E" w:rsidR="0015065C" w:rsidRPr="00686F1F" w:rsidRDefault="0015065C" w:rsidP="0015065C">
            <w:pPr>
              <w:spacing w:before="120" w:after="120" w:line="120" w:lineRule="auto"/>
              <w:ind w:left="288" w:right="288"/>
              <w:rPr>
                <w:rFonts w:ascii="Times New Roman" w:eastAsia="Times New Roman" w:hAnsi="Times New Roman" w:cs="Times New Roman"/>
                <w:b/>
                <w:snapToGrid w:val="0"/>
                <w:sz w:val="24"/>
                <w:szCs w:val="24"/>
              </w:rPr>
            </w:pPr>
            <w:r w:rsidRPr="00686F1F">
              <w:rPr>
                <w:rFonts w:ascii="Times New Roman" w:eastAsia="Times New Roman" w:hAnsi="Times New Roman" w:cs="Times New Roman"/>
                <w:b/>
                <w:snapToGrid w:val="0"/>
                <w:sz w:val="24"/>
                <w:szCs w:val="24"/>
              </w:rPr>
              <w:t>Комитет за наблюдение</w:t>
            </w:r>
          </w:p>
        </w:tc>
      </w:tr>
      <w:tr w:rsidR="0015065C" w:rsidRPr="00686F1F" w14:paraId="324D04D3" w14:textId="77777777" w:rsidTr="0015065C">
        <w:tc>
          <w:tcPr>
            <w:tcW w:w="1275" w:type="pct"/>
            <w:shd w:val="clear" w:color="auto" w:fill="D9D9D9"/>
          </w:tcPr>
          <w:p w14:paraId="44B2CA62"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КИД 2008</w:t>
            </w:r>
          </w:p>
        </w:tc>
        <w:tc>
          <w:tcPr>
            <w:tcW w:w="3725" w:type="pct"/>
            <w:shd w:val="clear" w:color="auto" w:fill="F3F3F3"/>
          </w:tcPr>
          <w:p w14:paraId="1A0AFB07"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Класификация на икономическите дейности 2008</w:t>
            </w:r>
          </w:p>
        </w:tc>
      </w:tr>
      <w:tr w:rsidR="0015065C" w:rsidRPr="00686F1F" w14:paraId="6947F9B3" w14:textId="77777777" w:rsidTr="0015065C">
        <w:tc>
          <w:tcPr>
            <w:tcW w:w="1275" w:type="pct"/>
            <w:shd w:val="clear" w:color="auto" w:fill="D9D9D9"/>
          </w:tcPr>
          <w:p w14:paraId="4FBEDEDB" w14:textId="5E4592A5" w:rsidR="0015065C" w:rsidRPr="00686F1F" w:rsidRDefault="0015065C" w:rsidP="00636410">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МИ</w:t>
            </w:r>
            <w:r w:rsidR="00636410">
              <w:rPr>
                <w:rFonts w:ascii="Times New Roman" w:hAnsi="Times New Roman" w:cs="Times New Roman"/>
                <w:b/>
                <w:sz w:val="24"/>
                <w:szCs w:val="24"/>
              </w:rPr>
              <w:t>ДТ</w:t>
            </w:r>
          </w:p>
        </w:tc>
        <w:tc>
          <w:tcPr>
            <w:tcW w:w="3725" w:type="pct"/>
            <w:shd w:val="clear" w:color="auto" w:fill="F3F3F3"/>
          </w:tcPr>
          <w:p w14:paraId="687846FB" w14:textId="2E17B89B" w:rsidR="0015065C" w:rsidRPr="00686F1F" w:rsidRDefault="0015065C" w:rsidP="00636410">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 xml:space="preserve">Министерство на иновациите и </w:t>
            </w:r>
            <w:r w:rsidR="00636410">
              <w:rPr>
                <w:rFonts w:ascii="Times New Roman" w:hAnsi="Times New Roman" w:cs="Times New Roman"/>
                <w:b/>
                <w:sz w:val="24"/>
                <w:szCs w:val="24"/>
              </w:rPr>
              <w:t>дигиталната трансформация</w:t>
            </w:r>
          </w:p>
        </w:tc>
      </w:tr>
      <w:tr w:rsidR="0015065C" w:rsidRPr="00686F1F" w14:paraId="29B9DCAF" w14:textId="77777777" w:rsidTr="0015065C">
        <w:tc>
          <w:tcPr>
            <w:tcW w:w="1275" w:type="pct"/>
            <w:shd w:val="clear" w:color="auto" w:fill="D9D9D9"/>
          </w:tcPr>
          <w:p w14:paraId="09434529"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МС</w:t>
            </w:r>
          </w:p>
        </w:tc>
        <w:tc>
          <w:tcPr>
            <w:tcW w:w="3725" w:type="pct"/>
            <w:shd w:val="clear" w:color="auto" w:fill="F3F3F3"/>
          </w:tcPr>
          <w:p w14:paraId="74C0F668"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Министерски съвет</w:t>
            </w:r>
          </w:p>
        </w:tc>
      </w:tr>
      <w:tr w:rsidR="0015065C" w:rsidRPr="00686F1F" w14:paraId="546A7076" w14:textId="77777777" w:rsidTr="0015065C">
        <w:tc>
          <w:tcPr>
            <w:tcW w:w="1275" w:type="pct"/>
            <w:shd w:val="clear" w:color="auto" w:fill="D9D9D9"/>
          </w:tcPr>
          <w:p w14:paraId="5A53E470"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МСП</w:t>
            </w:r>
          </w:p>
        </w:tc>
        <w:tc>
          <w:tcPr>
            <w:tcW w:w="3725" w:type="pct"/>
            <w:shd w:val="clear" w:color="auto" w:fill="F3F3F3"/>
          </w:tcPr>
          <w:p w14:paraId="5F6F85BC"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Малки и средни предприятия</w:t>
            </w:r>
          </w:p>
        </w:tc>
      </w:tr>
      <w:tr w:rsidR="0015065C" w:rsidRPr="00686F1F" w14:paraId="60EF2BD1" w14:textId="77777777" w:rsidTr="0015065C">
        <w:tc>
          <w:tcPr>
            <w:tcW w:w="1275" w:type="pct"/>
            <w:shd w:val="clear" w:color="auto" w:fill="D9D9D9"/>
          </w:tcPr>
          <w:p w14:paraId="12693FAD"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НСИ</w:t>
            </w:r>
          </w:p>
        </w:tc>
        <w:tc>
          <w:tcPr>
            <w:tcW w:w="3725" w:type="pct"/>
            <w:shd w:val="clear" w:color="auto" w:fill="F3F3F3"/>
          </w:tcPr>
          <w:p w14:paraId="6ABC9D65"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Национален статистически институт</w:t>
            </w:r>
          </w:p>
        </w:tc>
      </w:tr>
      <w:tr w:rsidR="0015065C" w:rsidRPr="00686F1F" w14:paraId="6BAA45B0" w14:textId="77777777" w:rsidTr="0015065C">
        <w:tc>
          <w:tcPr>
            <w:tcW w:w="1275" w:type="pct"/>
            <w:shd w:val="clear" w:color="auto" w:fill="D9D9D9"/>
          </w:tcPr>
          <w:p w14:paraId="589077F9"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ПМС</w:t>
            </w:r>
          </w:p>
        </w:tc>
        <w:tc>
          <w:tcPr>
            <w:tcW w:w="3725" w:type="pct"/>
            <w:shd w:val="clear" w:color="auto" w:fill="F3F3F3"/>
          </w:tcPr>
          <w:p w14:paraId="3957782E"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Постановление на Министерски съвет</w:t>
            </w:r>
          </w:p>
        </w:tc>
      </w:tr>
      <w:tr w:rsidR="0015065C" w:rsidRPr="00686F1F" w14:paraId="3EE5391A" w14:textId="77777777" w:rsidTr="0015065C">
        <w:tc>
          <w:tcPr>
            <w:tcW w:w="1275" w:type="pct"/>
            <w:shd w:val="clear" w:color="auto" w:fill="D9D9D9"/>
          </w:tcPr>
          <w:p w14:paraId="23ED91E5" w14:textId="77777777" w:rsidR="0015065C" w:rsidRPr="00686F1F" w:rsidRDefault="0015065C" w:rsidP="0015065C">
            <w:pPr>
              <w:spacing w:after="0" w:line="240" w:lineRule="auto"/>
              <w:ind w:left="288" w:right="288"/>
              <w:rPr>
                <w:rFonts w:ascii="Times New Roman" w:eastAsia="Times New Roman" w:hAnsi="Times New Roman" w:cs="Times New Roman"/>
                <w:b/>
                <w:snapToGrid w:val="0"/>
                <w:sz w:val="24"/>
                <w:szCs w:val="24"/>
              </w:rPr>
            </w:pPr>
            <w:r w:rsidRPr="00686F1F">
              <w:rPr>
                <w:rFonts w:ascii="Times New Roman" w:eastAsia="Times New Roman" w:hAnsi="Times New Roman" w:cs="Times New Roman"/>
                <w:b/>
                <w:snapToGrid w:val="0"/>
                <w:sz w:val="24"/>
                <w:szCs w:val="24"/>
              </w:rPr>
              <w:t>ПЦЕ</w:t>
            </w:r>
          </w:p>
        </w:tc>
        <w:tc>
          <w:tcPr>
            <w:tcW w:w="3725" w:type="pct"/>
            <w:shd w:val="clear" w:color="auto" w:fill="F3F3F3"/>
          </w:tcPr>
          <w:p w14:paraId="6C02B4F6" w14:textId="77777777" w:rsidR="0015065C" w:rsidRPr="00686F1F" w:rsidRDefault="0015065C" w:rsidP="0015065C">
            <w:pPr>
              <w:spacing w:after="0" w:line="240" w:lineRule="auto"/>
              <w:ind w:left="288" w:right="288"/>
              <w:rPr>
                <w:rFonts w:ascii="Times New Roman" w:eastAsia="Times New Roman" w:hAnsi="Times New Roman" w:cs="Times New Roman"/>
                <w:b/>
                <w:snapToGrid w:val="0"/>
                <w:sz w:val="24"/>
                <w:szCs w:val="24"/>
              </w:rPr>
            </w:pPr>
            <w:r w:rsidRPr="00686F1F">
              <w:rPr>
                <w:rFonts w:ascii="Times New Roman" w:eastAsia="Times New Roman" w:hAnsi="Times New Roman" w:cs="Times New Roman"/>
                <w:b/>
                <w:snapToGrid w:val="0"/>
                <w:sz w:val="24"/>
                <w:szCs w:val="24"/>
              </w:rPr>
              <w:t>Програма „Цифрова Европа“</w:t>
            </w:r>
          </w:p>
        </w:tc>
      </w:tr>
      <w:tr w:rsidR="00D96B1C" w:rsidRPr="00686F1F" w14:paraId="56841957" w14:textId="77777777" w:rsidTr="0015065C">
        <w:tc>
          <w:tcPr>
            <w:tcW w:w="1275" w:type="pct"/>
            <w:shd w:val="clear" w:color="auto" w:fill="D9D9D9"/>
          </w:tcPr>
          <w:p w14:paraId="56A8FB13" w14:textId="4E4562A9" w:rsidR="00D96B1C" w:rsidRPr="00686F1F" w:rsidRDefault="00D96B1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ПНИИДИТ</w:t>
            </w:r>
          </w:p>
        </w:tc>
        <w:tc>
          <w:tcPr>
            <w:tcW w:w="3725" w:type="pct"/>
            <w:shd w:val="clear" w:color="auto" w:fill="F3F3F3"/>
          </w:tcPr>
          <w:p w14:paraId="2BB4EA0F" w14:textId="3D46C9DA" w:rsidR="00D96B1C" w:rsidRPr="00686F1F" w:rsidRDefault="00D96B1C" w:rsidP="0015065C">
            <w:pPr>
              <w:spacing w:after="0" w:line="240" w:lineRule="auto"/>
              <w:ind w:left="288" w:right="288"/>
              <w:rPr>
                <w:rFonts w:ascii="Times New Roman" w:hAnsi="Times New Roman" w:cs="Times New Roman"/>
                <w:b/>
                <w:sz w:val="24"/>
                <w:szCs w:val="24"/>
              </w:rPr>
            </w:pPr>
            <w:r w:rsidRPr="00686F1F">
              <w:rPr>
                <w:rFonts w:ascii="Times New Roman" w:eastAsia="Times New Roman" w:hAnsi="Times New Roman" w:cs="Times New Roman"/>
                <w:b/>
                <w:snapToGrid w:val="0"/>
                <w:sz w:val="24"/>
                <w:szCs w:val="24"/>
              </w:rPr>
              <w:t>Програма „Научни изследвания, иновации и дигитализация за интелигента трансформация“</w:t>
            </w:r>
          </w:p>
        </w:tc>
      </w:tr>
      <w:tr w:rsidR="0015065C" w:rsidRPr="00686F1F" w14:paraId="104676AE" w14:textId="77777777" w:rsidTr="0015065C">
        <w:tc>
          <w:tcPr>
            <w:tcW w:w="1275" w:type="pct"/>
            <w:shd w:val="clear" w:color="auto" w:fill="D9D9D9"/>
          </w:tcPr>
          <w:p w14:paraId="7E406DFD"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СМР</w:t>
            </w:r>
          </w:p>
        </w:tc>
        <w:tc>
          <w:tcPr>
            <w:tcW w:w="3725" w:type="pct"/>
            <w:shd w:val="clear" w:color="auto" w:fill="F3F3F3"/>
          </w:tcPr>
          <w:p w14:paraId="08C88943"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Строително-монтажни работи</w:t>
            </w:r>
          </w:p>
        </w:tc>
      </w:tr>
      <w:tr w:rsidR="0015065C" w:rsidRPr="00686F1F" w14:paraId="77150078" w14:textId="77777777" w:rsidTr="0015065C">
        <w:tc>
          <w:tcPr>
            <w:tcW w:w="1275" w:type="pct"/>
            <w:shd w:val="clear" w:color="auto" w:fill="D9D9D9"/>
          </w:tcPr>
          <w:p w14:paraId="7ACC7E79" w14:textId="77777777" w:rsidR="0015065C" w:rsidRPr="00686F1F" w:rsidRDefault="0015065C" w:rsidP="0015065C">
            <w:pPr>
              <w:spacing w:after="0" w:line="240" w:lineRule="auto"/>
              <w:ind w:left="288" w:right="288"/>
              <w:rPr>
                <w:rFonts w:ascii="Times New Roman" w:eastAsia="Times New Roman" w:hAnsi="Times New Roman" w:cs="Times New Roman"/>
                <w:b/>
                <w:snapToGrid w:val="0"/>
                <w:sz w:val="24"/>
                <w:szCs w:val="24"/>
              </w:rPr>
            </w:pPr>
            <w:r w:rsidRPr="00686F1F">
              <w:rPr>
                <w:rFonts w:ascii="Times New Roman" w:eastAsia="Times New Roman" w:hAnsi="Times New Roman" w:cs="Times New Roman"/>
                <w:b/>
                <w:snapToGrid w:val="0"/>
                <w:sz w:val="24"/>
                <w:szCs w:val="24"/>
              </w:rPr>
              <w:t>ТРРЮЛНЦ</w:t>
            </w:r>
          </w:p>
        </w:tc>
        <w:tc>
          <w:tcPr>
            <w:tcW w:w="3725" w:type="pct"/>
            <w:shd w:val="clear" w:color="auto" w:fill="F3F3F3"/>
          </w:tcPr>
          <w:p w14:paraId="121CD49B" w14:textId="77777777" w:rsidR="0015065C" w:rsidRPr="00686F1F" w:rsidRDefault="0015065C" w:rsidP="0015065C">
            <w:pPr>
              <w:spacing w:after="0" w:line="240" w:lineRule="auto"/>
              <w:ind w:left="288" w:right="288"/>
              <w:rPr>
                <w:rFonts w:ascii="Times New Roman" w:eastAsia="Times New Roman" w:hAnsi="Times New Roman" w:cs="Times New Roman"/>
                <w:b/>
                <w:snapToGrid w:val="0"/>
                <w:sz w:val="24"/>
                <w:szCs w:val="24"/>
              </w:rPr>
            </w:pPr>
            <w:r w:rsidRPr="00686F1F">
              <w:rPr>
                <w:rFonts w:ascii="Times New Roman" w:eastAsia="Times New Roman" w:hAnsi="Times New Roman" w:cs="Times New Roman"/>
                <w:b/>
                <w:snapToGrid w:val="0"/>
                <w:sz w:val="24"/>
                <w:szCs w:val="24"/>
              </w:rPr>
              <w:t>Търговки регистър и регистър на юридическите лица с нестопанска цел</w:t>
            </w:r>
          </w:p>
        </w:tc>
      </w:tr>
      <w:tr w:rsidR="0015065C" w:rsidRPr="00686F1F" w14:paraId="45B950E9" w14:textId="77777777" w:rsidTr="0015065C">
        <w:tc>
          <w:tcPr>
            <w:tcW w:w="1275" w:type="pct"/>
            <w:shd w:val="clear" w:color="auto" w:fill="D9D9D9"/>
          </w:tcPr>
          <w:p w14:paraId="7A43B28C"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УО</w:t>
            </w:r>
          </w:p>
        </w:tc>
        <w:tc>
          <w:tcPr>
            <w:tcW w:w="3725" w:type="pct"/>
            <w:shd w:val="clear" w:color="auto" w:fill="F3F3F3"/>
          </w:tcPr>
          <w:p w14:paraId="12258DB0"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Управляващ орган</w:t>
            </w:r>
          </w:p>
        </w:tc>
      </w:tr>
      <w:tr w:rsidR="0015065C" w:rsidRPr="00686F1F" w14:paraId="2FBF55EA" w14:textId="77777777" w:rsidTr="0015065C">
        <w:tc>
          <w:tcPr>
            <w:tcW w:w="1275" w:type="pct"/>
            <w:shd w:val="clear" w:color="auto" w:fill="D9D9D9"/>
          </w:tcPr>
          <w:p w14:paraId="7161C86B"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lastRenderedPageBreak/>
              <w:t>ФК</w:t>
            </w:r>
          </w:p>
        </w:tc>
        <w:tc>
          <w:tcPr>
            <w:tcW w:w="3725" w:type="pct"/>
            <w:shd w:val="clear" w:color="auto" w:fill="F3F3F3"/>
          </w:tcPr>
          <w:p w14:paraId="4F529F8A" w14:textId="77777777" w:rsidR="0015065C" w:rsidRPr="00686F1F" w:rsidRDefault="0015065C"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Формуляр за кандидатстване</w:t>
            </w:r>
          </w:p>
        </w:tc>
      </w:tr>
      <w:tr w:rsidR="002F3AF3" w:rsidRPr="00686F1F" w14:paraId="67EB77CD" w14:textId="77777777" w:rsidTr="0015065C">
        <w:tc>
          <w:tcPr>
            <w:tcW w:w="1275" w:type="pct"/>
            <w:shd w:val="clear" w:color="auto" w:fill="D9D9D9"/>
          </w:tcPr>
          <w:p w14:paraId="6C4EE329" w14:textId="73F3883C" w:rsidR="002F3AF3" w:rsidRPr="00686F1F" w:rsidRDefault="002F3AF3"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ФТО</w:t>
            </w:r>
          </w:p>
        </w:tc>
        <w:tc>
          <w:tcPr>
            <w:tcW w:w="3725" w:type="pct"/>
            <w:shd w:val="clear" w:color="auto" w:fill="F3F3F3"/>
          </w:tcPr>
          <w:p w14:paraId="296D79EE" w14:textId="0E027713" w:rsidR="002F3AF3" w:rsidRPr="00686F1F" w:rsidRDefault="002F3AF3" w:rsidP="0015065C">
            <w:pPr>
              <w:spacing w:after="0" w:line="240" w:lineRule="auto"/>
              <w:ind w:left="288" w:right="288"/>
              <w:rPr>
                <w:rFonts w:ascii="Times New Roman" w:hAnsi="Times New Roman" w:cs="Times New Roman"/>
                <w:b/>
                <w:sz w:val="24"/>
                <w:szCs w:val="24"/>
              </w:rPr>
            </w:pPr>
            <w:r w:rsidRPr="00686F1F">
              <w:rPr>
                <w:rFonts w:ascii="Times New Roman" w:hAnsi="Times New Roman" w:cs="Times New Roman"/>
                <w:b/>
                <w:sz w:val="24"/>
                <w:szCs w:val="24"/>
              </w:rPr>
              <w:t>Финансов и технически отчет</w:t>
            </w:r>
          </w:p>
        </w:tc>
      </w:tr>
    </w:tbl>
    <w:p w14:paraId="781A258C" w14:textId="77777777" w:rsidR="00DC2206" w:rsidRDefault="00DC2206" w:rsidP="00F56BC0">
      <w:pPr>
        <w:spacing w:after="0" w:line="240" w:lineRule="auto"/>
        <w:rPr>
          <w:rFonts w:ascii="Times New Roman" w:hAnsi="Times New Roman" w:cs="Times New Roman"/>
          <w:b/>
          <w:kern w:val="28"/>
          <w:sz w:val="24"/>
          <w:szCs w:val="24"/>
          <w:lang w:val="en-US"/>
        </w:rPr>
      </w:pPr>
    </w:p>
    <w:p w14:paraId="3E4FA36A" w14:textId="1C2FFD6E" w:rsidR="00F56BC0" w:rsidRPr="00686F1F" w:rsidRDefault="007F4E6D" w:rsidP="00F56BC0">
      <w:pPr>
        <w:spacing w:after="0" w:line="240" w:lineRule="auto"/>
        <w:rPr>
          <w:rFonts w:ascii="Times New Roman" w:eastAsia="Times New Roman" w:hAnsi="Times New Roman" w:cs="Times New Roman"/>
          <w:b/>
          <w:snapToGrid w:val="0"/>
          <w:kern w:val="28"/>
          <w:sz w:val="24"/>
          <w:szCs w:val="24"/>
        </w:rPr>
      </w:pPr>
      <w:r w:rsidRPr="00686F1F">
        <w:rPr>
          <w:rFonts w:ascii="Times New Roman" w:hAnsi="Times New Roman" w:cs="Times New Roman"/>
          <w:b/>
          <w:kern w:val="28"/>
          <w:sz w:val="24"/>
          <w:szCs w:val="24"/>
          <w:lang w:val="en-US"/>
        </w:rPr>
        <w:t xml:space="preserve">II. </w:t>
      </w:r>
      <w:r w:rsidR="00DF094A" w:rsidRPr="00686F1F">
        <w:rPr>
          <w:rFonts w:ascii="Times New Roman" w:hAnsi="Times New Roman" w:cs="Times New Roman"/>
          <w:b/>
          <w:kern w:val="28"/>
          <w:sz w:val="24"/>
          <w:szCs w:val="24"/>
        </w:rPr>
        <w:t>ОСНОВНИ ДЕФИНИЦИИ</w:t>
      </w:r>
      <w:r w:rsidR="009B0FAC" w:rsidRPr="00686F1F">
        <w:rPr>
          <w:rFonts w:ascii="Times New Roman" w:eastAsia="Times New Roman" w:hAnsi="Times New Roman" w:cs="Times New Roman"/>
          <w:b/>
          <w:snapToGrid w:val="0"/>
          <w:kern w:val="28"/>
          <w:sz w:val="24"/>
          <w:szCs w:val="24"/>
        </w:rPr>
        <w:t>:</w:t>
      </w:r>
    </w:p>
    <w:p w14:paraId="1C345D6C" w14:textId="77777777" w:rsidR="0015065C" w:rsidRPr="00686F1F" w:rsidRDefault="0015065C" w:rsidP="00F56BC0">
      <w:pPr>
        <w:spacing w:after="0" w:line="240" w:lineRule="auto"/>
        <w:rPr>
          <w:rFonts w:ascii="Times New Roman" w:hAnsi="Times New Roman" w:cs="Times New Roman"/>
          <w:b/>
          <w:kern w:val="28"/>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12"/>
        <w:gridCol w:w="5750"/>
      </w:tblGrid>
      <w:tr w:rsidR="00547B5C" w:rsidRPr="00686F1F" w14:paraId="1BE26DDE" w14:textId="77777777" w:rsidTr="000E38C4">
        <w:tc>
          <w:tcPr>
            <w:tcW w:w="0" w:type="auto"/>
            <w:shd w:val="clear" w:color="000000" w:fill="E6E6E6"/>
            <w:vAlign w:val="center"/>
            <w:hideMark/>
          </w:tcPr>
          <w:p w14:paraId="510D0F50"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Административен договор за безвъзмездна финансова помощ</w:t>
            </w:r>
          </w:p>
        </w:tc>
        <w:tc>
          <w:tcPr>
            <w:tcW w:w="0" w:type="auto"/>
            <w:shd w:val="clear" w:color="000000" w:fill="F3F3F3"/>
            <w:vAlign w:val="center"/>
            <w:hideMark/>
          </w:tcPr>
          <w:p w14:paraId="7D114DCB"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Административен договор е изрично волеизявление на ръководителя на Управляващия орган за предоставяне на финансова подкрепа със средства от ЕФСУ, по силата на което и със съгласието на бенефициента се създават за бенефициента права и задължения по изпълнението на одобрения проект. Административният договор се оформя в писмено споразумение между ръководителя на Управляващия орган и бенефициента, заместващо издаването на административен акт.</w:t>
            </w:r>
          </w:p>
        </w:tc>
      </w:tr>
      <w:tr w:rsidR="00547B5C" w:rsidRPr="00686F1F" w14:paraId="3DC62842" w14:textId="77777777" w:rsidTr="000E38C4">
        <w:tc>
          <w:tcPr>
            <w:tcW w:w="0" w:type="auto"/>
            <w:shd w:val="clear" w:color="000000" w:fill="E6E6E6"/>
            <w:vAlign w:val="center"/>
            <w:hideMark/>
          </w:tcPr>
          <w:p w14:paraId="589DA0B5"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Асоциирани партньори</w:t>
            </w:r>
          </w:p>
        </w:tc>
        <w:tc>
          <w:tcPr>
            <w:tcW w:w="0" w:type="auto"/>
            <w:shd w:val="clear" w:color="000000" w:fill="F3F3F3"/>
            <w:vAlign w:val="center"/>
            <w:hideMark/>
          </w:tcPr>
          <w:p w14:paraId="322B2F66" w14:textId="3667182B"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Асоциирани партньори на кандидатите за безвъзмездна финансова помощ" са всички физически и юридически лица и техни обединения, които са заинтересовани от реализирането на проекта и участват в изпълнението на дейностите по него, но не разходват средства от безвъзмездната финансова помощ. Асоциираните партньори не могат да бъдат определяни за изпълнители по проекта по смисъла на чл. 49 от ЗУСЕФСУ .</w:t>
            </w:r>
          </w:p>
        </w:tc>
      </w:tr>
      <w:tr w:rsidR="00547B5C" w:rsidRPr="00686F1F" w14:paraId="34A52C3F" w14:textId="77777777" w:rsidTr="000E38C4">
        <w:tc>
          <w:tcPr>
            <w:tcW w:w="0" w:type="auto"/>
            <w:shd w:val="clear" w:color="000000" w:fill="E6E6E6"/>
            <w:vAlign w:val="center"/>
            <w:hideMark/>
          </w:tcPr>
          <w:p w14:paraId="76033B66" w14:textId="6BF1AD08"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Асоциирани партньори по програма „Цифрова Европа“</w:t>
            </w:r>
          </w:p>
        </w:tc>
        <w:tc>
          <w:tcPr>
            <w:tcW w:w="0" w:type="auto"/>
            <w:shd w:val="clear" w:color="000000" w:fill="F3F3F3"/>
            <w:vAlign w:val="center"/>
            <w:hideMark/>
          </w:tcPr>
          <w:p w14:paraId="750AA692" w14:textId="77615255" w:rsidR="003754C6" w:rsidRPr="00686F1F" w:rsidRDefault="00DB2AF2" w:rsidP="0003082D">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 xml:space="preserve">В съответствие с правилата на </w:t>
            </w:r>
            <w:r w:rsidR="00D77574" w:rsidRPr="00686F1F">
              <w:rPr>
                <w:rFonts w:ascii="Times New Roman" w:eastAsia="Times New Roman" w:hAnsi="Times New Roman" w:cs="Times New Roman"/>
                <w:color w:val="000000"/>
                <w:sz w:val="24"/>
                <w:szCs w:val="24"/>
                <w:lang w:eastAsia="bg-BG"/>
              </w:rPr>
              <w:t xml:space="preserve">ПЦЕ </w:t>
            </w:r>
            <w:r w:rsidRPr="00686F1F">
              <w:rPr>
                <w:rFonts w:ascii="Times New Roman" w:eastAsia="Times New Roman" w:hAnsi="Times New Roman" w:cs="Times New Roman"/>
                <w:color w:val="000000"/>
                <w:sz w:val="24"/>
                <w:szCs w:val="24"/>
                <w:lang w:eastAsia="bg-BG"/>
              </w:rPr>
              <w:t>а</w:t>
            </w:r>
            <w:r w:rsidR="003754C6" w:rsidRPr="00686F1F">
              <w:rPr>
                <w:rFonts w:ascii="Times New Roman" w:eastAsia="Times New Roman" w:hAnsi="Times New Roman" w:cs="Times New Roman"/>
                <w:color w:val="000000"/>
                <w:sz w:val="24"/>
                <w:szCs w:val="24"/>
                <w:lang w:eastAsia="bg-BG"/>
              </w:rPr>
              <w:t>социираните партньори</w:t>
            </w:r>
            <w:r w:rsidRPr="00686F1F">
              <w:rPr>
                <w:rFonts w:ascii="Times New Roman" w:eastAsia="Times New Roman" w:hAnsi="Times New Roman" w:cs="Times New Roman"/>
                <w:color w:val="000000"/>
                <w:sz w:val="24"/>
                <w:szCs w:val="24"/>
                <w:lang w:eastAsia="bg-BG"/>
              </w:rPr>
              <w:t xml:space="preserve"> </w:t>
            </w:r>
            <w:r w:rsidR="003754C6" w:rsidRPr="00686F1F">
              <w:rPr>
                <w:rFonts w:ascii="Times New Roman" w:eastAsia="Times New Roman" w:hAnsi="Times New Roman" w:cs="Times New Roman"/>
                <w:color w:val="000000"/>
                <w:sz w:val="24"/>
                <w:szCs w:val="24"/>
                <w:lang w:eastAsia="bg-BG"/>
              </w:rPr>
              <w:t>могат да изпълняват задачи по дейностите. Разходите, направени от асоциираните партньори НЕ могат да бъдат декларирани като допустими разходи. Асоциираните партньори</w:t>
            </w:r>
            <w:r w:rsidR="00791007" w:rsidRPr="00686F1F">
              <w:rPr>
                <w:rFonts w:ascii="Times New Roman" w:eastAsia="Times New Roman" w:hAnsi="Times New Roman" w:cs="Times New Roman"/>
                <w:color w:val="000000"/>
                <w:sz w:val="24"/>
                <w:szCs w:val="24"/>
                <w:lang w:eastAsia="bg-BG"/>
              </w:rPr>
              <w:t xml:space="preserve"> по програма </w:t>
            </w:r>
            <w:r w:rsidR="005F4EF6" w:rsidRPr="00686F1F">
              <w:rPr>
                <w:rFonts w:ascii="Times New Roman" w:eastAsia="Times New Roman" w:hAnsi="Times New Roman" w:cs="Times New Roman"/>
                <w:color w:val="000000"/>
                <w:sz w:val="24"/>
                <w:szCs w:val="24"/>
                <w:lang w:eastAsia="bg-BG"/>
              </w:rPr>
              <w:t xml:space="preserve">„Цифрова Европа“ </w:t>
            </w:r>
            <w:r w:rsidR="003754C6" w:rsidRPr="00686F1F">
              <w:rPr>
                <w:rFonts w:ascii="Times New Roman" w:eastAsia="Times New Roman" w:hAnsi="Times New Roman" w:cs="Times New Roman"/>
                <w:color w:val="000000"/>
                <w:sz w:val="24"/>
                <w:szCs w:val="24"/>
                <w:lang w:eastAsia="bg-BG"/>
              </w:rPr>
              <w:t xml:space="preserve">са посочени в </w:t>
            </w:r>
            <w:r w:rsidR="005F4EF6" w:rsidRPr="00686F1F">
              <w:rPr>
                <w:rFonts w:ascii="Times New Roman" w:eastAsia="Times New Roman" w:hAnsi="Times New Roman" w:cs="Times New Roman"/>
                <w:color w:val="000000"/>
                <w:sz w:val="24"/>
                <w:szCs w:val="24"/>
                <w:lang w:eastAsia="bg-BG"/>
              </w:rPr>
              <w:t>договора за финансиране, сключен с ЕК по процедура</w:t>
            </w:r>
            <w:r w:rsidR="00D77574" w:rsidRPr="00686F1F">
              <w:rPr>
                <w:rFonts w:ascii="Times New Roman" w:eastAsia="Times New Roman" w:hAnsi="Times New Roman" w:cs="Times New Roman"/>
                <w:color w:val="000000"/>
                <w:sz w:val="24"/>
                <w:szCs w:val="24"/>
                <w:lang w:eastAsia="bg-BG"/>
              </w:rPr>
              <w:t xml:space="preserve"> </w:t>
            </w:r>
            <w:r w:rsidR="0003082D" w:rsidRPr="0003082D">
              <w:rPr>
                <w:rFonts w:ascii="Times New Roman" w:hAnsi="Times New Roman" w:cs="Times New Roman"/>
                <w:b/>
                <w:sz w:val="24"/>
                <w:szCs w:val="24"/>
              </w:rPr>
              <w:t xml:space="preserve">DIGITAL-2025-EDIH-EU-EEA-08-CONSOLIDATION-STEP </w:t>
            </w:r>
            <w:r w:rsidR="00D77574" w:rsidRPr="00686F1F">
              <w:rPr>
                <w:rFonts w:ascii="Times New Roman" w:hAnsi="Times New Roman" w:cs="Times New Roman"/>
                <w:b/>
                <w:sz w:val="24"/>
                <w:szCs w:val="24"/>
              </w:rPr>
              <w:t xml:space="preserve">. </w:t>
            </w:r>
          </w:p>
        </w:tc>
      </w:tr>
      <w:tr w:rsidR="00547B5C" w:rsidRPr="00686F1F" w14:paraId="2CC37998" w14:textId="77777777" w:rsidTr="000E38C4">
        <w:tc>
          <w:tcPr>
            <w:tcW w:w="0" w:type="auto"/>
            <w:shd w:val="clear" w:color="000000" w:fill="E6E6E6"/>
            <w:vAlign w:val="center"/>
            <w:hideMark/>
          </w:tcPr>
          <w:p w14:paraId="3F9F3472"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Безвъзмездна финансова помощ</w:t>
            </w:r>
          </w:p>
        </w:tc>
        <w:tc>
          <w:tcPr>
            <w:tcW w:w="0" w:type="auto"/>
            <w:shd w:val="clear" w:color="000000" w:fill="F3F3F3"/>
            <w:vAlign w:val="center"/>
            <w:hideMark/>
          </w:tcPr>
          <w:p w14:paraId="59ABBECC"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Средства, предоставени от ПНИИДИТ, включително съответното национално съфинансиране, с цел изпълнението на одобрен проект, насочен към постигане на определени резултати/цели.</w:t>
            </w:r>
          </w:p>
        </w:tc>
      </w:tr>
      <w:tr w:rsidR="00547B5C" w:rsidRPr="00686F1F" w14:paraId="06B54208" w14:textId="77777777" w:rsidTr="000E38C4">
        <w:tc>
          <w:tcPr>
            <w:tcW w:w="0" w:type="auto"/>
            <w:shd w:val="clear" w:color="000000" w:fill="E6E6E6"/>
            <w:vAlign w:val="center"/>
            <w:hideMark/>
          </w:tcPr>
          <w:p w14:paraId="621C7BC2" w14:textId="4BA5A7F9" w:rsidR="003754C6" w:rsidRPr="00686F1F" w:rsidRDefault="00547B5C" w:rsidP="00547B5C">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Б</w:t>
            </w:r>
            <w:r w:rsidR="003754C6" w:rsidRPr="00686F1F">
              <w:rPr>
                <w:rFonts w:ascii="Times New Roman" w:eastAsia="Times New Roman" w:hAnsi="Times New Roman" w:cs="Times New Roman"/>
                <w:b/>
                <w:bCs/>
                <w:color w:val="000000"/>
                <w:sz w:val="24"/>
                <w:szCs w:val="24"/>
                <w:lang w:eastAsia="bg-BG"/>
              </w:rPr>
              <w:t>енефициент</w:t>
            </w:r>
            <w:r w:rsidR="001A4EAB" w:rsidRPr="00686F1F">
              <w:rPr>
                <w:rFonts w:ascii="Times New Roman" w:eastAsia="Times New Roman" w:hAnsi="Times New Roman" w:cs="Times New Roman"/>
                <w:b/>
                <w:bCs/>
                <w:color w:val="000000"/>
                <w:sz w:val="24"/>
                <w:szCs w:val="24"/>
                <w:lang w:eastAsia="bg-BG"/>
              </w:rPr>
              <w:t xml:space="preserve"> по проект</w:t>
            </w:r>
            <w:r w:rsidR="00FD39A7" w:rsidRPr="00686F1F">
              <w:rPr>
                <w:rFonts w:ascii="Times New Roman" w:eastAsia="Times New Roman" w:hAnsi="Times New Roman" w:cs="Times New Roman"/>
                <w:b/>
                <w:bCs/>
                <w:color w:val="000000"/>
                <w:sz w:val="24"/>
                <w:szCs w:val="24"/>
                <w:lang w:eastAsia="bg-BG"/>
              </w:rPr>
              <w:t>а</w:t>
            </w:r>
            <w:r w:rsidR="003754C6" w:rsidRPr="00686F1F">
              <w:rPr>
                <w:rFonts w:ascii="Times New Roman" w:eastAsia="Times New Roman" w:hAnsi="Times New Roman" w:cs="Times New Roman"/>
                <w:b/>
                <w:bCs/>
                <w:color w:val="000000"/>
                <w:sz w:val="24"/>
                <w:szCs w:val="24"/>
                <w:lang w:eastAsia="bg-BG"/>
              </w:rPr>
              <w:t xml:space="preserve"> по програма „Цифрова Европа“</w:t>
            </w:r>
            <w:r w:rsidR="00997825" w:rsidRPr="00686F1F">
              <w:rPr>
                <w:rFonts w:ascii="Times New Roman" w:eastAsia="Times New Roman" w:hAnsi="Times New Roman" w:cs="Times New Roman"/>
                <w:b/>
                <w:bCs/>
                <w:color w:val="000000"/>
                <w:sz w:val="24"/>
                <w:szCs w:val="24"/>
                <w:lang w:eastAsia="bg-BG"/>
              </w:rPr>
              <w:t xml:space="preserve"> и ПНИИДИТ</w:t>
            </w:r>
            <w:r w:rsidRPr="00686F1F">
              <w:rPr>
                <w:rFonts w:ascii="Times New Roman" w:eastAsia="Times New Roman" w:hAnsi="Times New Roman" w:cs="Times New Roman"/>
                <w:b/>
                <w:bCs/>
                <w:color w:val="000000"/>
                <w:sz w:val="24"/>
                <w:szCs w:val="24"/>
                <w:lang w:eastAsia="bg-BG"/>
              </w:rPr>
              <w:t>. Конкретен</w:t>
            </w:r>
            <w:r w:rsidRPr="00686F1F">
              <w:rPr>
                <w:rFonts w:ascii="Times New Roman" w:eastAsia="Times New Roman" w:hAnsi="Times New Roman" w:cs="Times New Roman"/>
                <w:b/>
                <w:bCs/>
                <w:color w:val="000000"/>
                <w:sz w:val="24"/>
                <w:szCs w:val="24"/>
                <w:lang w:val="en-US" w:eastAsia="bg-BG"/>
              </w:rPr>
              <w:t xml:space="preserve"> </w:t>
            </w:r>
            <w:proofErr w:type="spellStart"/>
            <w:r w:rsidRPr="00686F1F">
              <w:rPr>
                <w:rFonts w:ascii="Times New Roman" w:eastAsia="Times New Roman" w:hAnsi="Times New Roman" w:cs="Times New Roman"/>
                <w:b/>
                <w:bCs/>
                <w:color w:val="000000"/>
                <w:sz w:val="24"/>
                <w:szCs w:val="24"/>
                <w:lang w:val="en-US" w:eastAsia="bg-BG"/>
              </w:rPr>
              <w:t>бене</w:t>
            </w:r>
            <w:r w:rsidRPr="00686F1F">
              <w:rPr>
                <w:rFonts w:ascii="Times New Roman" w:eastAsia="Times New Roman" w:hAnsi="Times New Roman" w:cs="Times New Roman"/>
                <w:b/>
                <w:bCs/>
                <w:color w:val="000000"/>
                <w:sz w:val="24"/>
                <w:szCs w:val="24"/>
                <w:lang w:eastAsia="bg-BG"/>
              </w:rPr>
              <w:t>фициент</w:t>
            </w:r>
            <w:proofErr w:type="spellEnd"/>
            <w:r w:rsidR="00D07737" w:rsidRPr="00686F1F">
              <w:rPr>
                <w:rFonts w:ascii="Times New Roman" w:eastAsia="Times New Roman" w:hAnsi="Times New Roman" w:cs="Times New Roman"/>
                <w:b/>
                <w:bCs/>
                <w:color w:val="000000"/>
                <w:sz w:val="24"/>
                <w:szCs w:val="24"/>
                <w:lang w:eastAsia="bg-BG"/>
              </w:rPr>
              <w:t xml:space="preserve"> по ПНИИДИТ.</w:t>
            </w:r>
          </w:p>
        </w:tc>
        <w:tc>
          <w:tcPr>
            <w:tcW w:w="0" w:type="auto"/>
            <w:shd w:val="clear" w:color="000000" w:fill="F3F3F3"/>
            <w:vAlign w:val="center"/>
            <w:hideMark/>
          </w:tcPr>
          <w:p w14:paraId="67AF5988" w14:textId="55BE2DF1" w:rsidR="004D1D4E" w:rsidRPr="00686F1F" w:rsidRDefault="003754C6" w:rsidP="00547B5C">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Бенефициенти</w:t>
            </w:r>
            <w:r w:rsidR="00547B5C" w:rsidRPr="00686F1F">
              <w:rPr>
                <w:rFonts w:ascii="Times New Roman" w:eastAsia="Times New Roman" w:hAnsi="Times New Roman" w:cs="Times New Roman"/>
                <w:color w:val="000000"/>
                <w:sz w:val="24"/>
                <w:szCs w:val="24"/>
                <w:lang w:eastAsia="bg-BG"/>
              </w:rPr>
              <w:t xml:space="preserve"> по </w:t>
            </w:r>
            <w:r w:rsidR="00602659" w:rsidRPr="00686F1F">
              <w:rPr>
                <w:rFonts w:ascii="Times New Roman" w:eastAsia="Times New Roman" w:hAnsi="Times New Roman" w:cs="Times New Roman"/>
                <w:color w:val="000000"/>
                <w:sz w:val="24"/>
                <w:szCs w:val="24"/>
                <w:lang w:eastAsia="bg-BG"/>
              </w:rPr>
              <w:t>ПЦЕ и ПНИИДИТ</w:t>
            </w:r>
            <w:r w:rsidR="00997825" w:rsidRPr="00686F1F">
              <w:rPr>
                <w:rFonts w:ascii="Times New Roman" w:eastAsia="Times New Roman" w:hAnsi="Times New Roman" w:cs="Times New Roman"/>
                <w:color w:val="000000"/>
                <w:sz w:val="24"/>
                <w:szCs w:val="24"/>
                <w:lang w:eastAsia="bg-BG"/>
              </w:rPr>
              <w:t xml:space="preserve"> са </w:t>
            </w:r>
          </w:p>
          <w:p w14:paraId="019A94AE" w14:textId="2DFD7180" w:rsidR="004D1D4E" w:rsidRPr="00686F1F" w:rsidRDefault="004D1D4E" w:rsidP="00547B5C">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 xml:space="preserve">- </w:t>
            </w:r>
            <w:r w:rsidR="00997825" w:rsidRPr="00686F1F">
              <w:rPr>
                <w:rFonts w:ascii="Times New Roman" w:eastAsia="Times New Roman" w:hAnsi="Times New Roman" w:cs="Times New Roman"/>
                <w:color w:val="000000"/>
                <w:sz w:val="24"/>
                <w:szCs w:val="24"/>
                <w:lang w:eastAsia="bg-BG"/>
              </w:rPr>
              <w:t>координатор</w:t>
            </w:r>
            <w:r w:rsidR="00602659" w:rsidRPr="00686F1F">
              <w:rPr>
                <w:rFonts w:ascii="Times New Roman" w:eastAsia="Times New Roman" w:hAnsi="Times New Roman" w:cs="Times New Roman"/>
                <w:color w:val="000000"/>
                <w:sz w:val="24"/>
                <w:szCs w:val="24"/>
                <w:lang w:eastAsia="bg-BG"/>
              </w:rPr>
              <w:t xml:space="preserve">ът, подписал </w:t>
            </w:r>
            <w:r w:rsidR="00C12A57" w:rsidRPr="00686F1F">
              <w:rPr>
                <w:rFonts w:ascii="Times New Roman" w:eastAsia="Times New Roman" w:hAnsi="Times New Roman" w:cs="Times New Roman"/>
                <w:color w:val="000000"/>
                <w:sz w:val="24"/>
                <w:szCs w:val="24"/>
                <w:lang w:eastAsia="bg-BG"/>
              </w:rPr>
              <w:t xml:space="preserve">договора за финансиране, сключен с ЕК по процедура </w:t>
            </w:r>
            <w:r w:rsidR="0003082D" w:rsidRPr="0003082D">
              <w:rPr>
                <w:rFonts w:ascii="Times New Roman" w:hAnsi="Times New Roman" w:cs="Times New Roman"/>
                <w:b/>
                <w:sz w:val="24"/>
                <w:szCs w:val="24"/>
              </w:rPr>
              <w:t xml:space="preserve">DIGITAL-2025-EDIH-EU-EEA-08-CONSOLIDATION-STEP </w:t>
            </w:r>
            <w:r w:rsidR="00C12A57" w:rsidRPr="00686F1F">
              <w:rPr>
                <w:rFonts w:ascii="Times New Roman" w:hAnsi="Times New Roman" w:cs="Times New Roman"/>
                <w:b/>
                <w:sz w:val="24"/>
                <w:szCs w:val="24"/>
              </w:rPr>
              <w:t xml:space="preserve">и </w:t>
            </w:r>
            <w:r w:rsidRPr="00686F1F">
              <w:rPr>
                <w:rFonts w:ascii="Times New Roman" w:hAnsi="Times New Roman" w:cs="Times New Roman"/>
                <w:b/>
                <w:sz w:val="24"/>
                <w:szCs w:val="24"/>
              </w:rPr>
              <w:t xml:space="preserve">административният </w:t>
            </w:r>
            <w:r w:rsidR="00C12A57" w:rsidRPr="00686F1F">
              <w:rPr>
                <w:rFonts w:ascii="Times New Roman" w:hAnsi="Times New Roman" w:cs="Times New Roman"/>
                <w:b/>
                <w:sz w:val="24"/>
                <w:szCs w:val="24"/>
              </w:rPr>
              <w:t xml:space="preserve">договор за </w:t>
            </w:r>
            <w:r w:rsidR="00210837" w:rsidRPr="00686F1F">
              <w:rPr>
                <w:rFonts w:ascii="Times New Roman" w:hAnsi="Times New Roman" w:cs="Times New Roman"/>
                <w:b/>
                <w:sz w:val="24"/>
                <w:szCs w:val="24"/>
              </w:rPr>
              <w:t xml:space="preserve">директно </w:t>
            </w:r>
            <w:r w:rsidR="00C12A57" w:rsidRPr="00686F1F">
              <w:rPr>
                <w:rFonts w:ascii="Times New Roman" w:hAnsi="Times New Roman" w:cs="Times New Roman"/>
                <w:b/>
                <w:sz w:val="24"/>
                <w:szCs w:val="24"/>
              </w:rPr>
              <w:t xml:space="preserve">предоставяне на </w:t>
            </w:r>
            <w:r w:rsidRPr="00686F1F">
              <w:rPr>
                <w:rFonts w:ascii="Times New Roman" w:hAnsi="Times New Roman" w:cs="Times New Roman"/>
                <w:b/>
                <w:sz w:val="24"/>
                <w:szCs w:val="24"/>
              </w:rPr>
              <w:t>безвъзмездна</w:t>
            </w:r>
            <w:r w:rsidR="00C12A57" w:rsidRPr="00686F1F">
              <w:rPr>
                <w:rFonts w:ascii="Times New Roman" w:hAnsi="Times New Roman" w:cs="Times New Roman"/>
                <w:b/>
                <w:sz w:val="24"/>
                <w:szCs w:val="24"/>
              </w:rPr>
              <w:t xml:space="preserve"> финансова помощ по ПНИДИТ</w:t>
            </w:r>
            <w:r w:rsidRPr="00686F1F">
              <w:rPr>
                <w:rFonts w:ascii="Times New Roman" w:hAnsi="Times New Roman" w:cs="Times New Roman"/>
                <w:b/>
                <w:sz w:val="24"/>
                <w:szCs w:val="24"/>
              </w:rPr>
              <w:t>,</w:t>
            </w:r>
            <w:r w:rsidR="00997825" w:rsidRPr="00686F1F">
              <w:rPr>
                <w:rFonts w:ascii="Times New Roman" w:eastAsia="Times New Roman" w:hAnsi="Times New Roman" w:cs="Times New Roman"/>
                <w:color w:val="000000"/>
                <w:sz w:val="24"/>
                <w:szCs w:val="24"/>
                <w:lang w:eastAsia="bg-BG"/>
              </w:rPr>
              <w:t xml:space="preserve"> и </w:t>
            </w:r>
          </w:p>
          <w:p w14:paraId="79B96075" w14:textId="776FDDAC" w:rsidR="00EA4202" w:rsidRPr="00686F1F" w:rsidRDefault="004D1D4E" w:rsidP="00894459">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 xml:space="preserve">-  </w:t>
            </w:r>
            <w:r w:rsidR="00997825" w:rsidRPr="00686F1F">
              <w:rPr>
                <w:rFonts w:ascii="Times New Roman" w:eastAsia="Times New Roman" w:hAnsi="Times New Roman" w:cs="Times New Roman"/>
                <w:color w:val="000000"/>
                <w:sz w:val="24"/>
                <w:szCs w:val="24"/>
                <w:lang w:eastAsia="bg-BG"/>
              </w:rPr>
              <w:t>партньори</w:t>
            </w:r>
            <w:r w:rsidRPr="00686F1F">
              <w:rPr>
                <w:rFonts w:ascii="Times New Roman" w:eastAsia="Times New Roman" w:hAnsi="Times New Roman" w:cs="Times New Roman"/>
                <w:color w:val="000000"/>
                <w:sz w:val="24"/>
                <w:szCs w:val="24"/>
                <w:lang w:eastAsia="bg-BG"/>
              </w:rPr>
              <w:t>те</w:t>
            </w:r>
            <w:r w:rsidR="00997825" w:rsidRPr="00686F1F">
              <w:rPr>
                <w:rFonts w:ascii="Times New Roman" w:eastAsia="Times New Roman" w:hAnsi="Times New Roman" w:cs="Times New Roman"/>
                <w:color w:val="000000"/>
                <w:sz w:val="24"/>
                <w:szCs w:val="24"/>
                <w:lang w:eastAsia="bg-BG"/>
              </w:rPr>
              <w:t xml:space="preserve"> по проекта</w:t>
            </w:r>
            <w:r w:rsidR="00210837" w:rsidRPr="00686F1F">
              <w:rPr>
                <w:rFonts w:ascii="Times New Roman" w:eastAsia="Times New Roman" w:hAnsi="Times New Roman" w:cs="Times New Roman"/>
                <w:color w:val="000000"/>
                <w:sz w:val="24"/>
                <w:szCs w:val="24"/>
                <w:lang w:eastAsia="bg-BG"/>
              </w:rPr>
              <w:t xml:space="preserve">, </w:t>
            </w:r>
            <w:r w:rsidR="00EA4202" w:rsidRPr="00686F1F">
              <w:rPr>
                <w:rFonts w:ascii="Times New Roman" w:eastAsia="Times New Roman" w:hAnsi="Times New Roman" w:cs="Times New Roman"/>
                <w:color w:val="000000"/>
                <w:sz w:val="24"/>
                <w:szCs w:val="24"/>
                <w:lang w:eastAsia="bg-BG"/>
              </w:rPr>
              <w:t xml:space="preserve">посочени в договора, сключен с ЕК по процедура </w:t>
            </w:r>
            <w:r w:rsidR="0003082D" w:rsidRPr="0003082D">
              <w:rPr>
                <w:rFonts w:ascii="Times New Roman" w:hAnsi="Times New Roman" w:cs="Times New Roman"/>
                <w:b/>
                <w:sz w:val="24"/>
                <w:szCs w:val="24"/>
              </w:rPr>
              <w:t xml:space="preserve">DIGITAL-2025-EDIH-EU-EEA-08-CONSOLIDATION-STEP </w:t>
            </w:r>
            <w:r w:rsidR="00EA4202" w:rsidRPr="00686F1F">
              <w:rPr>
                <w:rFonts w:ascii="Times New Roman" w:hAnsi="Times New Roman" w:cs="Times New Roman"/>
                <w:b/>
                <w:sz w:val="24"/>
                <w:szCs w:val="24"/>
              </w:rPr>
              <w:t xml:space="preserve">и </w:t>
            </w:r>
            <w:r w:rsidR="00210837" w:rsidRPr="00686F1F">
              <w:rPr>
                <w:rFonts w:ascii="Times New Roman" w:eastAsia="Times New Roman" w:hAnsi="Times New Roman" w:cs="Times New Roman"/>
                <w:color w:val="000000"/>
                <w:sz w:val="24"/>
                <w:szCs w:val="24"/>
                <w:lang w:eastAsia="bg-BG"/>
              </w:rPr>
              <w:t xml:space="preserve">подписали </w:t>
            </w:r>
            <w:r w:rsidR="00894459" w:rsidRPr="00686F1F">
              <w:rPr>
                <w:rFonts w:ascii="Times New Roman" w:eastAsia="Times New Roman" w:hAnsi="Times New Roman" w:cs="Times New Roman"/>
                <w:color w:val="000000"/>
                <w:sz w:val="24"/>
                <w:szCs w:val="24"/>
                <w:lang w:eastAsia="bg-BG"/>
              </w:rPr>
              <w:t xml:space="preserve">форма А2 за присъединяване </w:t>
            </w:r>
            <w:r w:rsidR="00EA4202" w:rsidRPr="00686F1F">
              <w:rPr>
                <w:rFonts w:ascii="Times New Roman" w:hAnsi="Times New Roman" w:cs="Times New Roman"/>
                <w:b/>
                <w:sz w:val="24"/>
                <w:szCs w:val="24"/>
              </w:rPr>
              <w:t>(Приложение 3 към договора)</w:t>
            </w:r>
            <w:r w:rsidR="00997825" w:rsidRPr="00686F1F">
              <w:rPr>
                <w:rFonts w:ascii="Times New Roman" w:eastAsia="Times New Roman" w:hAnsi="Times New Roman" w:cs="Times New Roman"/>
                <w:color w:val="000000"/>
                <w:sz w:val="24"/>
                <w:szCs w:val="24"/>
                <w:lang w:eastAsia="bg-BG"/>
              </w:rPr>
              <w:t xml:space="preserve"> </w:t>
            </w:r>
            <w:r w:rsidR="0058554A" w:rsidRPr="00686F1F">
              <w:rPr>
                <w:rFonts w:ascii="Times New Roman" w:eastAsia="Times New Roman" w:hAnsi="Times New Roman" w:cs="Times New Roman"/>
                <w:color w:val="000000"/>
                <w:sz w:val="24"/>
                <w:szCs w:val="24"/>
                <w:lang w:eastAsia="bg-BG"/>
              </w:rPr>
              <w:t xml:space="preserve">и посочени в административния договор </w:t>
            </w:r>
            <w:r w:rsidR="00A92EB9" w:rsidRPr="00686F1F">
              <w:rPr>
                <w:rFonts w:ascii="Times New Roman" w:eastAsia="Times New Roman" w:hAnsi="Times New Roman" w:cs="Times New Roman"/>
                <w:color w:val="000000"/>
                <w:sz w:val="24"/>
                <w:szCs w:val="24"/>
                <w:lang w:eastAsia="bg-BG"/>
              </w:rPr>
              <w:t xml:space="preserve">за </w:t>
            </w:r>
            <w:r w:rsidR="00A92EB9" w:rsidRPr="00686F1F">
              <w:rPr>
                <w:rFonts w:ascii="Times New Roman" w:eastAsia="Times New Roman" w:hAnsi="Times New Roman" w:cs="Times New Roman"/>
                <w:color w:val="000000"/>
                <w:sz w:val="24"/>
                <w:szCs w:val="24"/>
                <w:lang w:eastAsia="bg-BG"/>
              </w:rPr>
              <w:lastRenderedPageBreak/>
              <w:t xml:space="preserve">директно предоставяне на </w:t>
            </w:r>
            <w:r w:rsidR="00C51225" w:rsidRPr="00686F1F">
              <w:rPr>
                <w:rFonts w:ascii="Times New Roman" w:eastAsia="Times New Roman" w:hAnsi="Times New Roman" w:cs="Times New Roman"/>
                <w:color w:val="000000"/>
                <w:sz w:val="24"/>
                <w:szCs w:val="24"/>
                <w:lang w:eastAsia="bg-BG"/>
              </w:rPr>
              <w:t>безвъзмездна</w:t>
            </w:r>
            <w:r w:rsidR="00A92EB9" w:rsidRPr="00686F1F">
              <w:rPr>
                <w:rFonts w:ascii="Times New Roman" w:eastAsia="Times New Roman" w:hAnsi="Times New Roman" w:cs="Times New Roman"/>
                <w:color w:val="000000"/>
                <w:sz w:val="24"/>
                <w:szCs w:val="24"/>
                <w:lang w:eastAsia="bg-BG"/>
              </w:rPr>
              <w:t xml:space="preserve"> финансова </w:t>
            </w:r>
            <w:r w:rsidR="00C51225" w:rsidRPr="00686F1F">
              <w:rPr>
                <w:rFonts w:ascii="Times New Roman" w:eastAsia="Times New Roman" w:hAnsi="Times New Roman" w:cs="Times New Roman"/>
                <w:color w:val="000000"/>
                <w:sz w:val="24"/>
                <w:szCs w:val="24"/>
                <w:lang w:eastAsia="bg-BG"/>
              </w:rPr>
              <w:t>помощ</w:t>
            </w:r>
          </w:p>
          <w:p w14:paraId="79C49C83" w14:textId="380EC7F3" w:rsidR="003754C6" w:rsidRPr="00686F1F" w:rsidRDefault="005A3322" w:rsidP="0003082D">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Бенефициентите</w:t>
            </w:r>
            <w:r w:rsidR="003754C6" w:rsidRPr="00686F1F">
              <w:rPr>
                <w:rFonts w:ascii="Times New Roman" w:eastAsia="Times New Roman" w:hAnsi="Times New Roman" w:cs="Times New Roman"/>
                <w:color w:val="000000"/>
                <w:sz w:val="24"/>
                <w:szCs w:val="24"/>
                <w:lang w:eastAsia="bg-BG"/>
              </w:rPr>
              <w:t xml:space="preserve"> носят пълна отговорност за изпълнението на сключения/те договор/и пред финансиращия/</w:t>
            </w:r>
            <w:proofErr w:type="spellStart"/>
            <w:r w:rsidR="003754C6" w:rsidRPr="00686F1F">
              <w:rPr>
                <w:rFonts w:ascii="Times New Roman" w:eastAsia="Times New Roman" w:hAnsi="Times New Roman" w:cs="Times New Roman"/>
                <w:color w:val="000000"/>
                <w:sz w:val="24"/>
                <w:szCs w:val="24"/>
                <w:lang w:eastAsia="bg-BG"/>
              </w:rPr>
              <w:t>тите</w:t>
            </w:r>
            <w:proofErr w:type="spellEnd"/>
            <w:r w:rsidR="003754C6" w:rsidRPr="00686F1F">
              <w:rPr>
                <w:rFonts w:ascii="Times New Roman" w:eastAsia="Times New Roman" w:hAnsi="Times New Roman" w:cs="Times New Roman"/>
                <w:color w:val="000000"/>
                <w:sz w:val="24"/>
                <w:szCs w:val="24"/>
                <w:lang w:eastAsia="bg-BG"/>
              </w:rPr>
              <w:t xml:space="preserve"> орган/и, както и за спазването на всички произтичащи от това задължения. </w:t>
            </w:r>
          </w:p>
        </w:tc>
      </w:tr>
      <w:tr w:rsidR="00547B5C" w:rsidRPr="00686F1F" w14:paraId="158EFCAA" w14:textId="77777777" w:rsidTr="000E38C4">
        <w:tc>
          <w:tcPr>
            <w:tcW w:w="0" w:type="auto"/>
            <w:shd w:val="clear" w:color="000000" w:fill="E6E6E6"/>
            <w:vAlign w:val="center"/>
            <w:hideMark/>
          </w:tcPr>
          <w:p w14:paraId="72B2EADF"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lastRenderedPageBreak/>
              <w:t>Група предприятия</w:t>
            </w:r>
          </w:p>
        </w:tc>
        <w:tc>
          <w:tcPr>
            <w:tcW w:w="0" w:type="auto"/>
            <w:shd w:val="clear" w:color="000000" w:fill="F3F3F3"/>
            <w:vAlign w:val="center"/>
            <w:hideMark/>
          </w:tcPr>
          <w:p w14:paraId="66EFAC87"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„Група" означава предприятие майка и всички негови дъщерни предприятия, като: "предприятие майка" означава предприятие, което контролира едно или повече дъщерни предприятия и съответно „дъщерно предприятие" означава предприятие, което се контролира от предприятие майка, включително дъщерно предприятие на крайно предприятие майка.</w:t>
            </w:r>
          </w:p>
          <w:p w14:paraId="54E94F2B" w14:textId="13BA9F92"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Проверката включва преценка във връзка с наличието на икономически субект (кандидат), имащ общ източник на контрол на основание не само представения консолидиран финансов отчет (за група предприятия), но и наличната информация в публичните регистри (вкл. ТР и регистър на ЮЛНЦ), отчитайки възможността общия източник на контрол да се осъществява, както от предприятия, така и от физически лица, участващи в управлението им.</w:t>
            </w:r>
          </w:p>
        </w:tc>
      </w:tr>
      <w:tr w:rsidR="00547B5C" w:rsidRPr="00686F1F" w14:paraId="26E89DEF" w14:textId="77777777" w:rsidTr="000E38C4">
        <w:tc>
          <w:tcPr>
            <w:tcW w:w="0" w:type="auto"/>
            <w:shd w:val="clear" w:color="000000" w:fill="E6E6E6"/>
            <w:vAlign w:val="center"/>
            <w:hideMark/>
          </w:tcPr>
          <w:p w14:paraId="3D1F562E"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Дейност</w:t>
            </w:r>
          </w:p>
        </w:tc>
        <w:tc>
          <w:tcPr>
            <w:tcW w:w="0" w:type="auto"/>
            <w:shd w:val="clear" w:color="000000" w:fill="F3F3F3"/>
            <w:vAlign w:val="center"/>
            <w:hideMark/>
          </w:tcPr>
          <w:p w14:paraId="7639EA90"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Задача или група от задачи (действие или група от действия), които имат (водят до постигане на) конкретен резултат (резултат/продукт) и чрез които се реализира изпълнението на съответния проект.</w:t>
            </w:r>
          </w:p>
        </w:tc>
      </w:tr>
      <w:tr w:rsidR="00547B5C" w:rsidRPr="00686F1F" w14:paraId="302B2409" w14:textId="77777777" w:rsidTr="000E38C4">
        <w:tc>
          <w:tcPr>
            <w:tcW w:w="0" w:type="auto"/>
            <w:shd w:val="clear" w:color="000000" w:fill="E6E6E6"/>
            <w:vAlign w:val="center"/>
            <w:hideMark/>
          </w:tcPr>
          <w:p w14:paraId="44FFAAF9"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Едно и също предприятие</w:t>
            </w:r>
          </w:p>
        </w:tc>
        <w:tc>
          <w:tcPr>
            <w:tcW w:w="0" w:type="auto"/>
            <w:shd w:val="clear" w:color="000000" w:fill="F3F3F3"/>
            <w:vAlign w:val="center"/>
            <w:hideMark/>
          </w:tcPr>
          <w:p w14:paraId="7D4FF9BE" w14:textId="441E3EE8"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 xml:space="preserve">Съгласно чл. 2, </w:t>
            </w:r>
            <w:proofErr w:type="spellStart"/>
            <w:r w:rsidRPr="00686F1F">
              <w:rPr>
                <w:rFonts w:ascii="Times New Roman" w:eastAsia="Times New Roman" w:hAnsi="Times New Roman" w:cs="Times New Roman"/>
                <w:color w:val="000000"/>
                <w:sz w:val="24"/>
                <w:szCs w:val="24"/>
                <w:lang w:eastAsia="bg-BG"/>
              </w:rPr>
              <w:t>пар</w:t>
            </w:r>
            <w:proofErr w:type="spellEnd"/>
            <w:r w:rsidRPr="00686F1F">
              <w:rPr>
                <w:rFonts w:ascii="Times New Roman" w:eastAsia="Times New Roman" w:hAnsi="Times New Roman" w:cs="Times New Roman"/>
                <w:color w:val="000000"/>
                <w:sz w:val="24"/>
                <w:szCs w:val="24"/>
                <w:lang w:eastAsia="bg-BG"/>
              </w:rPr>
              <w:t xml:space="preserve">. 2 на </w:t>
            </w:r>
            <w:r w:rsidRPr="009E375A">
              <w:rPr>
                <w:rFonts w:ascii="Times New Roman" w:eastAsia="Times New Roman" w:hAnsi="Times New Roman" w:cs="Times New Roman"/>
                <w:color w:val="000000"/>
                <w:sz w:val="24"/>
                <w:szCs w:val="24"/>
                <w:lang w:eastAsia="bg-BG"/>
              </w:rPr>
              <w:t xml:space="preserve">Регламент (ЕС) № </w:t>
            </w:r>
            <w:r w:rsidR="00DD2512" w:rsidRPr="009E375A">
              <w:rPr>
                <w:rFonts w:ascii="Times New Roman" w:eastAsia="Times New Roman" w:hAnsi="Times New Roman" w:cs="Times New Roman"/>
                <w:color w:val="000000"/>
                <w:sz w:val="24"/>
                <w:szCs w:val="24"/>
                <w:lang w:eastAsia="bg-BG"/>
              </w:rPr>
              <w:t>2023/2831</w:t>
            </w:r>
            <w:r w:rsidR="00DD2512" w:rsidRPr="009E375A" w:rsidDel="00DD2512">
              <w:rPr>
                <w:rFonts w:ascii="Times New Roman" w:eastAsia="Times New Roman" w:hAnsi="Times New Roman" w:cs="Times New Roman"/>
                <w:color w:val="000000"/>
                <w:sz w:val="24"/>
                <w:szCs w:val="24"/>
                <w:lang w:eastAsia="bg-BG"/>
              </w:rPr>
              <w:t xml:space="preserve"> </w:t>
            </w:r>
            <w:r w:rsidRPr="009E375A">
              <w:rPr>
                <w:rFonts w:ascii="Times New Roman" w:eastAsia="Times New Roman" w:hAnsi="Times New Roman" w:cs="Times New Roman"/>
                <w:color w:val="000000"/>
                <w:sz w:val="24"/>
                <w:szCs w:val="24"/>
                <w:lang w:eastAsia="bg-BG"/>
              </w:rPr>
              <w:t>„едно и също предприятие“ означава всички</w:t>
            </w:r>
            <w:r w:rsidRPr="00686F1F">
              <w:rPr>
                <w:rFonts w:ascii="Times New Roman" w:eastAsia="Times New Roman" w:hAnsi="Times New Roman" w:cs="Times New Roman"/>
                <w:color w:val="000000"/>
                <w:sz w:val="24"/>
                <w:szCs w:val="24"/>
                <w:lang w:eastAsia="bg-BG"/>
              </w:rPr>
              <w:t xml:space="preserve"> предприятия, които поддържат помежду си поне един вид от следните взаимоотношения: </w:t>
            </w:r>
          </w:p>
          <w:p w14:paraId="002CEB28" w14:textId="57602ED5"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 xml:space="preserve">а) дадено предприятие притежава мнозинството от </w:t>
            </w:r>
            <w:r w:rsidR="00A456F0">
              <w:rPr>
                <w:rFonts w:ascii="Times New Roman" w:eastAsia="Times New Roman" w:hAnsi="Times New Roman" w:cs="Times New Roman"/>
                <w:color w:val="000000"/>
                <w:sz w:val="24"/>
                <w:szCs w:val="24"/>
                <w:lang w:eastAsia="bg-BG"/>
              </w:rPr>
              <w:t xml:space="preserve">правата на </w:t>
            </w:r>
            <w:r w:rsidRPr="00686F1F">
              <w:rPr>
                <w:rFonts w:ascii="Times New Roman" w:eastAsia="Times New Roman" w:hAnsi="Times New Roman" w:cs="Times New Roman"/>
                <w:color w:val="000000"/>
                <w:sz w:val="24"/>
                <w:szCs w:val="24"/>
                <w:lang w:eastAsia="bg-BG"/>
              </w:rPr>
              <w:t xml:space="preserve">глас на акционерите или съдружниците в друго предприятие; </w:t>
            </w:r>
          </w:p>
          <w:p w14:paraId="56461E31"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 xml:space="preserve">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 </w:t>
            </w:r>
          </w:p>
          <w:p w14:paraId="5B0134A3"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 xml:space="preserve">в) дадено предприятие има право да упражнява доминиращо влияние спрямо друго предприятие по силата на договор, сключен с това предприятие, или на разпоредба в неговия устав или учредителен акт; </w:t>
            </w:r>
          </w:p>
          <w:p w14:paraId="584D3C96" w14:textId="1FF19871"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 xml:space="preserve">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w:t>
            </w:r>
            <w:r w:rsidR="00DD2512">
              <w:rPr>
                <w:rFonts w:ascii="Times New Roman" w:eastAsia="Times New Roman" w:hAnsi="Times New Roman" w:cs="Times New Roman"/>
                <w:color w:val="000000"/>
                <w:sz w:val="24"/>
                <w:szCs w:val="24"/>
                <w:lang w:eastAsia="bg-BG"/>
              </w:rPr>
              <w:t xml:space="preserve">правата на </w:t>
            </w:r>
            <w:r w:rsidRPr="00686F1F">
              <w:rPr>
                <w:rFonts w:ascii="Times New Roman" w:eastAsia="Times New Roman" w:hAnsi="Times New Roman" w:cs="Times New Roman"/>
                <w:color w:val="000000"/>
                <w:sz w:val="24"/>
                <w:szCs w:val="24"/>
                <w:lang w:eastAsia="bg-BG"/>
              </w:rPr>
              <w:t xml:space="preserve">глас на акционерите или съдружниците в това предприятие. </w:t>
            </w:r>
          </w:p>
          <w:p w14:paraId="1F4EE16F" w14:textId="261A2B7F"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lastRenderedPageBreak/>
              <w:t>Предприятия, поддържащи едно от взаимоотношенията по букви а) - г) посредством едно или няколко други предприятия, също се разглеждат като едно и също предприятие.</w:t>
            </w:r>
          </w:p>
        </w:tc>
      </w:tr>
      <w:tr w:rsidR="00547B5C" w:rsidRPr="00686F1F" w14:paraId="6B412D1F" w14:textId="77777777" w:rsidTr="000E38C4">
        <w:tc>
          <w:tcPr>
            <w:tcW w:w="0" w:type="auto"/>
            <w:shd w:val="clear" w:color="000000" w:fill="E6E6E6"/>
            <w:vAlign w:val="center"/>
            <w:hideMark/>
          </w:tcPr>
          <w:p w14:paraId="774C1D2F"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lastRenderedPageBreak/>
              <w:t>Експериментално развитие</w:t>
            </w:r>
          </w:p>
        </w:tc>
        <w:tc>
          <w:tcPr>
            <w:tcW w:w="0" w:type="auto"/>
            <w:shd w:val="clear" w:color="000000" w:fill="F3F3F3"/>
            <w:vAlign w:val="center"/>
            <w:hideMark/>
          </w:tcPr>
          <w:p w14:paraId="0D5E1105"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 xml:space="preserve">„Експериментално развитие“ означава придобиване, съчетаване, оформяне и използване на съществуващи научни, технологични, търговски и други важни знания и умения с цел разработване на нови или усъвършенствани продукти, процеси или услуги, включително цифрови продукти, процеси или услуги във всяка област, технология, промишленост или сектор (включително, но и не само цифрови отрасли и технологии, като например изчисления със суперкомпютър, квантови технологии, </w:t>
            </w:r>
            <w:proofErr w:type="spellStart"/>
            <w:r w:rsidRPr="00686F1F">
              <w:rPr>
                <w:rFonts w:ascii="Times New Roman" w:eastAsia="Times New Roman" w:hAnsi="Times New Roman" w:cs="Times New Roman"/>
                <w:color w:val="000000"/>
                <w:sz w:val="24"/>
                <w:szCs w:val="24"/>
                <w:lang w:eastAsia="bg-BG"/>
              </w:rPr>
              <w:t>блокчейн</w:t>
            </w:r>
            <w:proofErr w:type="spellEnd"/>
            <w:r w:rsidRPr="00686F1F">
              <w:rPr>
                <w:rFonts w:ascii="Times New Roman" w:eastAsia="Times New Roman" w:hAnsi="Times New Roman" w:cs="Times New Roman"/>
                <w:color w:val="000000"/>
                <w:sz w:val="24"/>
                <w:szCs w:val="24"/>
                <w:lang w:eastAsia="bg-BG"/>
              </w:rPr>
              <w:t xml:space="preserve"> технологии, изкуствен интелект, киберсигурност, големи информационни масиви и облачни технологии или технологии за периферни изчисления). Това например може да включва и дейности, имащи за цел задаването на концепция, планирането и документирането на нови продукти, процеси или услуги.</w:t>
            </w:r>
          </w:p>
          <w:p w14:paraId="6CBFA6BC"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Експерименталното развитие може да включва разработване на прототипи, демонстрация, разработване на пилотни проекти, изпитване и валидиране на нови или усъвършенствани продукти, процеси или услуги в среда, която е представителна за оперативните условия в реалния живот, когато главната цел е по-нататъшното техническо подобряване на продукти, процеси или услуги, които не са в окончателния си вид. Това може да включва разработване на търговски използваеми прототипи или пилотни проекти, които са необходими за крайния търговски продукт и чието производство е твърде скъпо, за да бъдат използвани само за демонстрации и валидиране.</w:t>
            </w:r>
          </w:p>
          <w:p w14:paraId="3E089B78" w14:textId="0F6C63CD"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Експерименталното развитие не включва рутинни и периодични изменения, въвеждани в съществуващи продукти, производствени линии, производствени процеси, услуги или други операции в процес на изпълнение, дори ако тези изменения може да представляват подобрения;</w:t>
            </w:r>
          </w:p>
        </w:tc>
      </w:tr>
      <w:tr w:rsidR="00547B5C" w:rsidRPr="00686F1F" w14:paraId="42B12E16" w14:textId="77777777" w:rsidTr="000E38C4">
        <w:tc>
          <w:tcPr>
            <w:tcW w:w="0" w:type="auto"/>
            <w:shd w:val="clear" w:color="000000" w:fill="E6E6E6"/>
            <w:vAlign w:val="center"/>
            <w:hideMark/>
          </w:tcPr>
          <w:p w14:paraId="598BAC8D"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Ефективно сътрудничество</w:t>
            </w:r>
          </w:p>
        </w:tc>
        <w:tc>
          <w:tcPr>
            <w:tcW w:w="0" w:type="auto"/>
            <w:shd w:val="clear" w:color="000000" w:fill="F3F3F3"/>
            <w:vAlign w:val="center"/>
            <w:hideMark/>
          </w:tcPr>
          <w:p w14:paraId="7986046F"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Ефективно сътрудничество означава сътрудничество между най-малко две независими страни за обмен на знания</w:t>
            </w:r>
          </w:p>
          <w:p w14:paraId="25650CB6"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или технологии или за постигане на обща цел, основана на разделението на труда, при което страните определят</w:t>
            </w:r>
          </w:p>
          <w:p w14:paraId="30A57BA8"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lastRenderedPageBreak/>
              <w:t>заедно обхвата на съвместния проект, допринасят за осъществяването му и споделят рисковете и резултатите от</w:t>
            </w:r>
          </w:p>
          <w:p w14:paraId="5785B831"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него. Една или няколко страни могат да поемат пълните разходи по проекта и по този начин да облекчат другите</w:t>
            </w:r>
          </w:p>
          <w:p w14:paraId="3FF819AD"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страни от финансовите му рискове. Извършването на научни изследвания, възложени по силата на договор, и</w:t>
            </w:r>
          </w:p>
          <w:p w14:paraId="5E67799C" w14:textId="2BFDCE93"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предоставянето на изследователски услуги не се считат за форми на сътрудничество.</w:t>
            </w:r>
          </w:p>
        </w:tc>
      </w:tr>
      <w:tr w:rsidR="00547B5C" w:rsidRPr="00686F1F" w14:paraId="6FAF2B3E" w14:textId="77777777" w:rsidTr="000E38C4">
        <w:tc>
          <w:tcPr>
            <w:tcW w:w="0" w:type="auto"/>
            <w:shd w:val="clear" w:color="000000" w:fill="E6E6E6"/>
            <w:vAlign w:val="center"/>
            <w:hideMark/>
          </w:tcPr>
          <w:p w14:paraId="12DDDA26"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lastRenderedPageBreak/>
              <w:t xml:space="preserve">Изпълнител, определен от страна на бенефициента </w:t>
            </w:r>
          </w:p>
        </w:tc>
        <w:tc>
          <w:tcPr>
            <w:tcW w:w="0" w:type="auto"/>
            <w:shd w:val="clear" w:color="000000" w:fill="F3F3F3"/>
            <w:vAlign w:val="center"/>
            <w:hideMark/>
          </w:tcPr>
          <w:p w14:paraId="6406B088" w14:textId="5D4A88E2" w:rsidR="003754C6" w:rsidRPr="00686F1F" w:rsidRDefault="003754C6" w:rsidP="00EA3E63">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 xml:space="preserve">Изпълнители на дейности по проекта, възложени им от бенефициентите на безвъзмездна финансова помощ. Изпълнителите от страна на бенефициента не са партньори и се определят в съответствие с реда за определяне на изпълнител от страна на бенефициенти на договорена безвъзмездна финансова помощ от </w:t>
            </w:r>
            <w:r w:rsidR="00EA3E63">
              <w:rPr>
                <w:rFonts w:ascii="Times New Roman" w:eastAsia="Times New Roman" w:hAnsi="Times New Roman" w:cs="Times New Roman"/>
                <w:color w:val="000000"/>
                <w:sz w:val="24"/>
                <w:szCs w:val="24"/>
                <w:lang w:eastAsia="bg-BG"/>
              </w:rPr>
              <w:t>ЕФСУ</w:t>
            </w:r>
            <w:r w:rsidRPr="00686F1F">
              <w:rPr>
                <w:rFonts w:ascii="Times New Roman" w:eastAsia="Times New Roman" w:hAnsi="Times New Roman" w:cs="Times New Roman"/>
                <w:color w:val="000000"/>
                <w:sz w:val="24"/>
                <w:szCs w:val="24"/>
                <w:lang w:eastAsia="bg-BG"/>
              </w:rPr>
              <w:t xml:space="preserve">, както и по реда на Закона за обществените поръчки и подзаконовите актове по прилагането му, включително и на указанията на УО, заложени в Ръководството за изпълнение на договори за безвъзмездна финансова помощ по </w:t>
            </w:r>
            <w:r w:rsidR="00781638">
              <w:rPr>
                <w:rFonts w:ascii="Times New Roman" w:eastAsia="Times New Roman" w:hAnsi="Times New Roman" w:cs="Times New Roman"/>
                <w:color w:val="000000"/>
                <w:sz w:val="24"/>
                <w:szCs w:val="24"/>
                <w:lang w:eastAsia="bg-BG"/>
              </w:rPr>
              <w:t>ПНИИДИТ</w:t>
            </w:r>
            <w:r w:rsidRPr="00686F1F">
              <w:rPr>
                <w:rFonts w:ascii="Times New Roman" w:eastAsia="Times New Roman" w:hAnsi="Times New Roman" w:cs="Times New Roman"/>
                <w:color w:val="000000"/>
                <w:sz w:val="24"/>
                <w:szCs w:val="24"/>
                <w:lang w:eastAsia="bg-BG"/>
              </w:rPr>
              <w:t>.</w:t>
            </w:r>
          </w:p>
        </w:tc>
      </w:tr>
      <w:tr w:rsidR="00547B5C" w:rsidRPr="00686F1F" w14:paraId="77550B92" w14:textId="77777777" w:rsidTr="000E38C4">
        <w:tc>
          <w:tcPr>
            <w:tcW w:w="0" w:type="auto"/>
            <w:shd w:val="clear" w:color="000000" w:fill="E6E6E6"/>
            <w:vAlign w:val="center"/>
            <w:hideMark/>
          </w:tcPr>
          <w:p w14:paraId="2E1AE18F"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Индустриални научни изследвания</w:t>
            </w:r>
          </w:p>
        </w:tc>
        <w:tc>
          <w:tcPr>
            <w:tcW w:w="0" w:type="auto"/>
            <w:shd w:val="clear" w:color="000000" w:fill="F3F3F3"/>
            <w:vAlign w:val="center"/>
            <w:hideMark/>
          </w:tcPr>
          <w:p w14:paraId="06A1D6E7"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 xml:space="preserve">„Индустриални научни изследвания“ означава планирани научни изследвания или проучвания от изключително значение, предназначени за придобиването на нови знания и умения за разработване на нови продукти, процеси или услуги или насочени към постигане на съществени подобрения на съществуващи продукти, процеси или услуги, включително цифрови продукти, процеси или услуги, във всяка област, технология, промишленост или сектор (включително, но и не само цифрови отрасли и технологии, като например изчисления със суперкомпютър, квантови технологии, </w:t>
            </w:r>
            <w:proofErr w:type="spellStart"/>
            <w:r w:rsidRPr="00686F1F">
              <w:rPr>
                <w:rFonts w:ascii="Times New Roman" w:eastAsia="Times New Roman" w:hAnsi="Times New Roman" w:cs="Times New Roman"/>
                <w:color w:val="000000"/>
                <w:sz w:val="24"/>
                <w:szCs w:val="24"/>
                <w:lang w:eastAsia="bg-BG"/>
              </w:rPr>
              <w:t>блокчейн</w:t>
            </w:r>
            <w:proofErr w:type="spellEnd"/>
            <w:r w:rsidRPr="00686F1F">
              <w:rPr>
                <w:rFonts w:ascii="Times New Roman" w:eastAsia="Times New Roman" w:hAnsi="Times New Roman" w:cs="Times New Roman"/>
                <w:color w:val="000000"/>
                <w:sz w:val="24"/>
                <w:szCs w:val="24"/>
                <w:lang w:eastAsia="bg-BG"/>
              </w:rPr>
              <w:t xml:space="preserve"> технологии, изкуствен интелект, киберсигурност, големи информационни масиви и облачни технологии). </w:t>
            </w:r>
          </w:p>
          <w:p w14:paraId="584C047D" w14:textId="09BE22BB"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Индустриалните научни изследвания обхващат създаването на компоненти на сложни системи и може да включват конструирането на прототипи в лабораторна среда или среда със симулирани интерфейси към съществуващи системи, както и създаването на пилотни линии, когато това е необходимо за индустриалните научни изследвания, по-специално за валидирането на технологии с широко приложение;</w:t>
            </w:r>
          </w:p>
        </w:tc>
      </w:tr>
      <w:tr w:rsidR="00547B5C" w:rsidRPr="00686F1F" w14:paraId="27090BA8" w14:textId="77777777" w:rsidTr="000E38C4">
        <w:tc>
          <w:tcPr>
            <w:tcW w:w="0" w:type="auto"/>
            <w:shd w:val="clear" w:color="000000" w:fill="E6E6E6"/>
            <w:vAlign w:val="center"/>
            <w:hideMark/>
          </w:tcPr>
          <w:p w14:paraId="473A1A47" w14:textId="327233C3" w:rsidR="003754C6" w:rsidRPr="00686F1F" w:rsidRDefault="003754C6" w:rsidP="000E38C4">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Иноваци</w:t>
            </w:r>
            <w:r w:rsidR="000E38C4" w:rsidRPr="00686F1F">
              <w:rPr>
                <w:rFonts w:ascii="Times New Roman" w:eastAsia="Times New Roman" w:hAnsi="Times New Roman" w:cs="Times New Roman"/>
                <w:b/>
                <w:bCs/>
                <w:color w:val="000000"/>
                <w:sz w:val="24"/>
                <w:szCs w:val="24"/>
                <w:lang w:eastAsia="bg-BG"/>
              </w:rPr>
              <w:t>онен клъстер</w:t>
            </w:r>
          </w:p>
        </w:tc>
        <w:tc>
          <w:tcPr>
            <w:tcW w:w="0" w:type="auto"/>
            <w:shd w:val="clear" w:color="000000" w:fill="F3F3F3"/>
            <w:vAlign w:val="center"/>
            <w:hideMark/>
          </w:tcPr>
          <w:p w14:paraId="1B0EEF8F" w14:textId="07966F96" w:rsidR="003754C6" w:rsidRPr="009E375A" w:rsidRDefault="000E38C4" w:rsidP="000E38C4">
            <w:pPr>
              <w:spacing w:after="0" w:line="240" w:lineRule="auto"/>
              <w:jc w:val="both"/>
              <w:rPr>
                <w:rFonts w:ascii="Times New Roman" w:eastAsia="Times New Roman" w:hAnsi="Times New Roman" w:cs="Times New Roman"/>
                <w:color w:val="000000"/>
                <w:sz w:val="24"/>
                <w:szCs w:val="24"/>
                <w:lang w:eastAsia="bg-BG"/>
              </w:rPr>
            </w:pPr>
            <w:r w:rsidRPr="009E375A">
              <w:rPr>
                <w:rFonts w:ascii="Times New Roman" w:eastAsia="Times New Roman" w:hAnsi="Times New Roman" w:cs="Times New Roman"/>
                <w:color w:val="000000"/>
                <w:sz w:val="24"/>
                <w:szCs w:val="24"/>
                <w:lang w:eastAsia="bg-BG"/>
              </w:rPr>
              <w:t xml:space="preserve">По смисъла на чл. 2, </w:t>
            </w:r>
            <w:proofErr w:type="spellStart"/>
            <w:r w:rsidRPr="009E375A">
              <w:rPr>
                <w:rFonts w:ascii="Times New Roman" w:eastAsia="Times New Roman" w:hAnsi="Times New Roman" w:cs="Times New Roman"/>
                <w:color w:val="000000"/>
                <w:sz w:val="24"/>
                <w:szCs w:val="24"/>
                <w:lang w:eastAsia="bg-BG"/>
              </w:rPr>
              <w:t>пар</w:t>
            </w:r>
            <w:proofErr w:type="spellEnd"/>
            <w:r w:rsidRPr="009E375A">
              <w:rPr>
                <w:rFonts w:ascii="Times New Roman" w:eastAsia="Times New Roman" w:hAnsi="Times New Roman" w:cs="Times New Roman"/>
                <w:color w:val="000000"/>
                <w:sz w:val="24"/>
                <w:szCs w:val="24"/>
                <w:lang w:eastAsia="bg-BG"/>
              </w:rPr>
              <w:t xml:space="preserve">. 92 от Регламент (ЕО) № 651/2014 „иновационни клъстери“ означава структури </w:t>
            </w:r>
            <w:r w:rsidRPr="009E375A">
              <w:rPr>
                <w:rFonts w:ascii="Times New Roman" w:eastAsia="Times New Roman" w:hAnsi="Times New Roman" w:cs="Times New Roman"/>
                <w:color w:val="000000"/>
                <w:sz w:val="24"/>
                <w:szCs w:val="24"/>
                <w:lang w:eastAsia="bg-BG"/>
              </w:rPr>
              <w:lastRenderedPageBreak/>
              <w:t>или организирани групи от независими страни (като новосъздадени иновационни предприятия, малки, средни и големи предприятия, както и организации за научни изследвания и разпространение на знания, изследователски инфраструктури, инфраструктури за изпитване и експериментиране, центрове за цифрови иновации, организации с нестопанска цел и други свързани икономически субекти), създадени с цел да се стимулират иновационните дейности, както и нови начини за сътрудничество, например чрез цифрови средства, съвместно използване и/или насърчаване на съвместното използване на съоръжения и обмен на познания и опит и чрез ефективен принос за трансфера на знания, изграждането на мрежи, разпространението на информация и сътрудничеството между предприятията и други организации в клъстера. Центровете за цифрови иновации (включително европейските центрове за цифрови иновации, финансирани по линия на централно управляваната програма „Цифрова Европа“, създадена съгласно Регламент (ЕС) 2021/694 на Европейския парламент и на Съвета (*17)) са субекти, чиято цел е да се стимулира широкото внедряване на цифрови технологии, например изкуствен интелект, изчисления в облак, периферни изчисления и високоскоростни изчисления и киберсигурност по сектори (по-специално МСП), и организации от публичния сектор. Центровете за цифрови иновации сами по себе си могат да отговарят на определението за иновационен клъстер за целите на настоящия регламент.</w:t>
            </w:r>
          </w:p>
        </w:tc>
      </w:tr>
      <w:tr w:rsidR="00547B5C" w:rsidRPr="00686F1F" w14:paraId="1F60E131" w14:textId="77777777" w:rsidTr="000E38C4">
        <w:tc>
          <w:tcPr>
            <w:tcW w:w="0" w:type="auto"/>
            <w:shd w:val="clear" w:color="000000" w:fill="E6E6E6"/>
            <w:vAlign w:val="center"/>
            <w:hideMark/>
          </w:tcPr>
          <w:p w14:paraId="343A64F8"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lastRenderedPageBreak/>
              <w:t>Кандидати</w:t>
            </w:r>
          </w:p>
        </w:tc>
        <w:tc>
          <w:tcPr>
            <w:tcW w:w="0" w:type="auto"/>
            <w:shd w:val="clear" w:color="000000" w:fill="F3F3F3"/>
            <w:vAlign w:val="center"/>
            <w:hideMark/>
          </w:tcPr>
          <w:p w14:paraId="3F404341"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Всички физически и юридически лица и техни обединения, които кандидатстват за безвъзмездна финансова помощ чрез подаване на проектно предложение.</w:t>
            </w:r>
          </w:p>
        </w:tc>
      </w:tr>
      <w:tr w:rsidR="000E38C4" w:rsidRPr="00686F1F" w14:paraId="419A022A" w14:textId="77777777" w:rsidTr="000E38C4">
        <w:tc>
          <w:tcPr>
            <w:tcW w:w="0" w:type="auto"/>
            <w:shd w:val="clear" w:color="000000" w:fill="E6E6E6"/>
            <w:vAlign w:val="center"/>
          </w:tcPr>
          <w:p w14:paraId="4986DDD3" w14:textId="23D47395" w:rsidR="000E38C4" w:rsidRPr="00686F1F" w:rsidRDefault="000E38C4"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Консултантски услуги в областта на иновациите</w:t>
            </w:r>
          </w:p>
        </w:tc>
        <w:tc>
          <w:tcPr>
            <w:tcW w:w="0" w:type="auto"/>
            <w:shd w:val="clear" w:color="000000" w:fill="F3F3F3"/>
            <w:vAlign w:val="center"/>
          </w:tcPr>
          <w:p w14:paraId="55F8B73A" w14:textId="47B50846" w:rsidR="000E38C4" w:rsidRPr="00686F1F" w:rsidRDefault="000E38C4" w:rsidP="000E38C4">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 xml:space="preserve">По </w:t>
            </w:r>
            <w:r w:rsidRPr="009E375A">
              <w:rPr>
                <w:rFonts w:ascii="Times New Roman" w:eastAsia="Times New Roman" w:hAnsi="Times New Roman" w:cs="Times New Roman"/>
                <w:color w:val="000000"/>
                <w:sz w:val="24"/>
                <w:szCs w:val="24"/>
                <w:lang w:eastAsia="bg-BG"/>
              </w:rPr>
              <w:t xml:space="preserve">смисъла на чл. 2, </w:t>
            </w:r>
            <w:proofErr w:type="spellStart"/>
            <w:r w:rsidRPr="009E375A">
              <w:rPr>
                <w:rFonts w:ascii="Times New Roman" w:eastAsia="Times New Roman" w:hAnsi="Times New Roman" w:cs="Times New Roman"/>
                <w:color w:val="000000"/>
                <w:sz w:val="24"/>
                <w:szCs w:val="24"/>
                <w:lang w:eastAsia="bg-BG"/>
              </w:rPr>
              <w:t>пар</w:t>
            </w:r>
            <w:proofErr w:type="spellEnd"/>
            <w:r w:rsidRPr="009E375A">
              <w:rPr>
                <w:rFonts w:ascii="Times New Roman" w:eastAsia="Times New Roman" w:hAnsi="Times New Roman" w:cs="Times New Roman"/>
                <w:color w:val="000000"/>
                <w:sz w:val="24"/>
                <w:szCs w:val="24"/>
                <w:lang w:eastAsia="bg-BG"/>
              </w:rPr>
              <w:t>. 94 от Регламент (ЕО) № 651/2014 „консултантски услуги в областта на иновациите“ означава консултиране</w:t>
            </w:r>
            <w:r w:rsidRPr="00686F1F">
              <w:rPr>
                <w:rFonts w:ascii="Times New Roman" w:eastAsia="Times New Roman" w:hAnsi="Times New Roman" w:cs="Times New Roman"/>
                <w:color w:val="000000"/>
                <w:sz w:val="24"/>
                <w:szCs w:val="24"/>
                <w:lang w:eastAsia="bg-BG"/>
              </w:rPr>
              <w:t>, подпомагане или обучение в областта на трансфера на знания, придобиването, защитата или експлоатацията на нематериални активи или използването на стандартите и правилата, които ги уреждат, както и консултиране, подпомагане или обучение за въвеждането или използването на иновативни технологии и решения (включително цифрови технологии и решения);</w:t>
            </w:r>
          </w:p>
        </w:tc>
      </w:tr>
      <w:tr w:rsidR="00547B5C" w:rsidRPr="00686F1F" w14:paraId="5F350FF9" w14:textId="77777777" w:rsidTr="000E38C4">
        <w:tc>
          <w:tcPr>
            <w:tcW w:w="0" w:type="auto"/>
            <w:shd w:val="clear" w:color="000000" w:fill="E6E6E6"/>
            <w:vAlign w:val="center"/>
            <w:hideMark/>
          </w:tcPr>
          <w:p w14:paraId="62ABE0B4"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Материални активи</w:t>
            </w:r>
          </w:p>
        </w:tc>
        <w:tc>
          <w:tcPr>
            <w:tcW w:w="0" w:type="auto"/>
            <w:shd w:val="clear" w:color="000000" w:fill="F3F3F3"/>
            <w:vAlign w:val="center"/>
            <w:hideMark/>
          </w:tcPr>
          <w:p w14:paraId="76D8334D"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 xml:space="preserve">По смисъла </w:t>
            </w:r>
            <w:r w:rsidRPr="009E375A">
              <w:rPr>
                <w:rFonts w:ascii="Times New Roman" w:eastAsia="Times New Roman" w:hAnsi="Times New Roman" w:cs="Times New Roman"/>
                <w:color w:val="000000"/>
                <w:sz w:val="24"/>
                <w:szCs w:val="24"/>
                <w:lang w:eastAsia="bg-BG"/>
              </w:rPr>
              <w:t xml:space="preserve">на чл. 2, </w:t>
            </w:r>
            <w:proofErr w:type="spellStart"/>
            <w:r w:rsidRPr="009E375A">
              <w:rPr>
                <w:rFonts w:ascii="Times New Roman" w:eastAsia="Times New Roman" w:hAnsi="Times New Roman" w:cs="Times New Roman"/>
                <w:color w:val="000000"/>
                <w:sz w:val="24"/>
                <w:szCs w:val="24"/>
                <w:lang w:eastAsia="bg-BG"/>
              </w:rPr>
              <w:t>пар</w:t>
            </w:r>
            <w:proofErr w:type="spellEnd"/>
            <w:r w:rsidRPr="009E375A">
              <w:rPr>
                <w:rFonts w:ascii="Times New Roman" w:eastAsia="Times New Roman" w:hAnsi="Times New Roman" w:cs="Times New Roman"/>
                <w:color w:val="000000"/>
                <w:sz w:val="24"/>
                <w:szCs w:val="24"/>
                <w:lang w:eastAsia="bg-BG"/>
              </w:rPr>
              <w:t>. 29 от Регламент (ЕО) № 651/2014 „материални активи"</w:t>
            </w:r>
            <w:r w:rsidRPr="00686F1F">
              <w:rPr>
                <w:rFonts w:ascii="Times New Roman" w:eastAsia="Times New Roman" w:hAnsi="Times New Roman" w:cs="Times New Roman"/>
                <w:color w:val="000000"/>
                <w:sz w:val="24"/>
                <w:szCs w:val="24"/>
                <w:lang w:eastAsia="bg-BG"/>
              </w:rPr>
              <w:t xml:space="preserve"> означава активи, състоящи се от земя, сгради, съоръжения, машини и оборудване.</w:t>
            </w:r>
          </w:p>
        </w:tc>
      </w:tr>
      <w:tr w:rsidR="00547B5C" w:rsidRPr="00686F1F" w14:paraId="253A2021" w14:textId="77777777" w:rsidTr="000E38C4">
        <w:tc>
          <w:tcPr>
            <w:tcW w:w="0" w:type="auto"/>
            <w:shd w:val="clear" w:color="000000" w:fill="E6E6E6"/>
            <w:vAlign w:val="center"/>
            <w:hideMark/>
          </w:tcPr>
          <w:p w14:paraId="11B2BF2B" w14:textId="694D4FD4"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lastRenderedPageBreak/>
              <w:t>Координатор по</w:t>
            </w:r>
            <w:r w:rsidR="001A4EAB" w:rsidRPr="00686F1F">
              <w:rPr>
                <w:rFonts w:ascii="Times New Roman" w:eastAsia="Times New Roman" w:hAnsi="Times New Roman" w:cs="Times New Roman"/>
                <w:b/>
                <w:bCs/>
                <w:color w:val="000000"/>
                <w:sz w:val="24"/>
                <w:szCs w:val="24"/>
                <w:lang w:eastAsia="bg-BG"/>
              </w:rPr>
              <w:t xml:space="preserve"> </w:t>
            </w:r>
            <w:r w:rsidR="001C5F9E" w:rsidRPr="00686F1F">
              <w:rPr>
                <w:rFonts w:ascii="Times New Roman" w:eastAsia="Times New Roman" w:hAnsi="Times New Roman" w:cs="Times New Roman"/>
                <w:b/>
                <w:bCs/>
                <w:color w:val="000000"/>
                <w:sz w:val="24"/>
                <w:szCs w:val="24"/>
                <w:lang w:eastAsia="bg-BG"/>
              </w:rPr>
              <w:t>проекта</w:t>
            </w:r>
            <w:r w:rsidR="001A4EAB" w:rsidRPr="00686F1F">
              <w:rPr>
                <w:rFonts w:ascii="Times New Roman" w:eastAsia="Times New Roman" w:hAnsi="Times New Roman" w:cs="Times New Roman"/>
                <w:b/>
                <w:bCs/>
                <w:color w:val="000000"/>
                <w:sz w:val="24"/>
                <w:szCs w:val="24"/>
                <w:lang w:eastAsia="bg-BG"/>
              </w:rPr>
              <w:t xml:space="preserve"> по</w:t>
            </w:r>
            <w:r w:rsidRPr="00686F1F">
              <w:rPr>
                <w:rFonts w:ascii="Times New Roman" w:eastAsia="Times New Roman" w:hAnsi="Times New Roman" w:cs="Times New Roman"/>
                <w:b/>
                <w:bCs/>
                <w:color w:val="000000"/>
                <w:sz w:val="24"/>
                <w:szCs w:val="24"/>
                <w:lang w:eastAsia="bg-BG"/>
              </w:rPr>
              <w:t xml:space="preserve"> програма „Цифрова Европа“</w:t>
            </w:r>
            <w:r w:rsidR="00997825" w:rsidRPr="00686F1F">
              <w:rPr>
                <w:rFonts w:ascii="Times New Roman" w:eastAsia="Times New Roman" w:hAnsi="Times New Roman" w:cs="Times New Roman"/>
                <w:b/>
                <w:bCs/>
                <w:color w:val="000000"/>
                <w:sz w:val="24"/>
                <w:szCs w:val="24"/>
                <w:lang w:eastAsia="bg-BG"/>
              </w:rPr>
              <w:t xml:space="preserve"> и ПНИИДИТ</w:t>
            </w:r>
          </w:p>
        </w:tc>
        <w:tc>
          <w:tcPr>
            <w:tcW w:w="0" w:type="auto"/>
            <w:shd w:val="clear" w:color="000000" w:fill="F3F3F3"/>
            <w:vAlign w:val="center"/>
            <w:hideMark/>
          </w:tcPr>
          <w:p w14:paraId="115C83D4" w14:textId="406792CE" w:rsidR="003754C6" w:rsidRPr="009E375A" w:rsidRDefault="003754C6" w:rsidP="0003082D">
            <w:pPr>
              <w:spacing w:after="0" w:line="240" w:lineRule="auto"/>
              <w:jc w:val="both"/>
              <w:rPr>
                <w:rFonts w:ascii="Times New Roman" w:eastAsia="Times New Roman" w:hAnsi="Times New Roman" w:cs="Times New Roman"/>
                <w:color w:val="000000"/>
                <w:sz w:val="24"/>
                <w:szCs w:val="24"/>
                <w:lang w:eastAsia="bg-BG"/>
              </w:rPr>
            </w:pPr>
            <w:r w:rsidRPr="009E375A">
              <w:rPr>
                <w:rFonts w:ascii="Times New Roman" w:eastAsia="Times New Roman" w:hAnsi="Times New Roman" w:cs="Times New Roman"/>
                <w:color w:val="000000"/>
                <w:sz w:val="24"/>
                <w:szCs w:val="24"/>
                <w:lang w:eastAsia="bg-BG"/>
              </w:rPr>
              <w:t xml:space="preserve">Координаторът е бенефициент, който осъществява контакт с финансиращия орган. Той представлява консорциума както пред УО по отношение на ПНИИДИТ, така и пред ЕК (DG CONNECT) по отношение на ПЦЕ. Координаторът е страна по сключения/те договор/и с УО и ЕК. Координаторът трябва да има достатъчен финансов капацитет, за да управлява финансирането от ЕС. Координаторът получава средствата на ЕК и УО, които след това той разпределя на другите партньори според нуждите и в съответствие с вътрешното им споразумение. Капацитетът на координатора подлежи на оценка от ЕК по процедура </w:t>
            </w:r>
            <w:r w:rsidR="0003082D" w:rsidRPr="009E375A">
              <w:rPr>
                <w:rFonts w:ascii="Times New Roman" w:eastAsia="Times New Roman" w:hAnsi="Times New Roman" w:cs="Times New Roman"/>
                <w:color w:val="000000"/>
                <w:sz w:val="24"/>
                <w:szCs w:val="24"/>
                <w:lang w:eastAsia="bg-BG"/>
              </w:rPr>
              <w:t>DIGITAL-2025-EDIH-EU-EEA-08-CONSOLIDATION-STEP</w:t>
            </w:r>
            <w:r w:rsidRPr="009E375A">
              <w:rPr>
                <w:rFonts w:ascii="Times New Roman" w:eastAsia="Times New Roman" w:hAnsi="Times New Roman" w:cs="Times New Roman"/>
                <w:color w:val="000000"/>
                <w:sz w:val="24"/>
                <w:szCs w:val="24"/>
                <w:lang w:eastAsia="bg-BG"/>
              </w:rPr>
              <w:t>.</w:t>
            </w:r>
          </w:p>
        </w:tc>
      </w:tr>
      <w:tr w:rsidR="00547B5C" w:rsidRPr="00686F1F" w14:paraId="75718613" w14:textId="77777777" w:rsidTr="000E38C4">
        <w:tc>
          <w:tcPr>
            <w:tcW w:w="0" w:type="auto"/>
            <w:shd w:val="clear" w:color="000000" w:fill="E6E6E6"/>
            <w:vAlign w:val="center"/>
            <w:hideMark/>
          </w:tcPr>
          <w:p w14:paraId="41EF49BC"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Малки дружества със средна пазарна капитализация (</w:t>
            </w:r>
            <w:proofErr w:type="spellStart"/>
            <w:r w:rsidRPr="00686F1F">
              <w:rPr>
                <w:rFonts w:ascii="Times New Roman" w:eastAsia="Times New Roman" w:hAnsi="Times New Roman" w:cs="Times New Roman"/>
                <w:b/>
                <w:bCs/>
                <w:color w:val="000000"/>
                <w:sz w:val="24"/>
                <w:szCs w:val="24"/>
                <w:lang w:eastAsia="bg-BG"/>
              </w:rPr>
              <w:t>Small</w:t>
            </w:r>
            <w:proofErr w:type="spellEnd"/>
            <w:r w:rsidRPr="00686F1F">
              <w:rPr>
                <w:rFonts w:ascii="Times New Roman" w:eastAsia="Times New Roman" w:hAnsi="Times New Roman" w:cs="Times New Roman"/>
                <w:b/>
                <w:bCs/>
                <w:color w:val="000000"/>
                <w:sz w:val="24"/>
                <w:szCs w:val="24"/>
                <w:lang w:eastAsia="bg-BG"/>
              </w:rPr>
              <w:t xml:space="preserve"> </w:t>
            </w:r>
            <w:proofErr w:type="spellStart"/>
            <w:r w:rsidRPr="00686F1F">
              <w:rPr>
                <w:rFonts w:ascii="Times New Roman" w:eastAsia="Times New Roman" w:hAnsi="Times New Roman" w:cs="Times New Roman"/>
                <w:b/>
                <w:bCs/>
                <w:color w:val="000000"/>
                <w:sz w:val="24"/>
                <w:szCs w:val="24"/>
                <w:lang w:eastAsia="bg-BG"/>
              </w:rPr>
              <w:t>Mid-Caps</w:t>
            </w:r>
            <w:proofErr w:type="spellEnd"/>
            <w:r w:rsidRPr="00686F1F">
              <w:rPr>
                <w:rFonts w:ascii="Times New Roman" w:eastAsia="Times New Roman" w:hAnsi="Times New Roman" w:cs="Times New Roman"/>
                <w:b/>
                <w:bCs/>
                <w:color w:val="000000"/>
                <w:sz w:val="24"/>
                <w:szCs w:val="24"/>
                <w:lang w:eastAsia="bg-BG"/>
              </w:rPr>
              <w:t>)</w:t>
            </w:r>
          </w:p>
        </w:tc>
        <w:tc>
          <w:tcPr>
            <w:tcW w:w="0" w:type="auto"/>
            <w:shd w:val="clear" w:color="000000" w:fill="F3F3F3"/>
            <w:vAlign w:val="center"/>
            <w:hideMark/>
          </w:tcPr>
          <w:p w14:paraId="13EC9089" w14:textId="77777777" w:rsidR="003754C6" w:rsidRPr="009E375A"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9E375A">
              <w:rPr>
                <w:rFonts w:ascii="Times New Roman" w:eastAsia="Times New Roman" w:hAnsi="Times New Roman" w:cs="Times New Roman"/>
                <w:color w:val="000000"/>
                <w:sz w:val="24"/>
                <w:szCs w:val="24"/>
                <w:lang w:eastAsia="bg-BG"/>
              </w:rPr>
              <w:t xml:space="preserve">Съгласно чл. 2, </w:t>
            </w:r>
            <w:proofErr w:type="spellStart"/>
            <w:r w:rsidRPr="009E375A">
              <w:rPr>
                <w:rFonts w:ascii="Times New Roman" w:eastAsia="Times New Roman" w:hAnsi="Times New Roman" w:cs="Times New Roman"/>
                <w:color w:val="000000"/>
                <w:sz w:val="24"/>
                <w:szCs w:val="24"/>
                <w:lang w:eastAsia="bg-BG"/>
              </w:rPr>
              <w:t>пар</w:t>
            </w:r>
            <w:proofErr w:type="spellEnd"/>
            <w:r w:rsidRPr="009E375A">
              <w:rPr>
                <w:rFonts w:ascii="Times New Roman" w:eastAsia="Times New Roman" w:hAnsi="Times New Roman" w:cs="Times New Roman"/>
                <w:color w:val="000000"/>
                <w:sz w:val="24"/>
                <w:szCs w:val="24"/>
                <w:lang w:eastAsia="bg-BG"/>
              </w:rPr>
              <w:t>. 103д от Регламент (ЕО) № 651/2014 „малки дружества със средна пазарна капитализация (</w:t>
            </w:r>
            <w:proofErr w:type="spellStart"/>
            <w:r w:rsidRPr="009E375A">
              <w:rPr>
                <w:rFonts w:ascii="Times New Roman" w:eastAsia="Times New Roman" w:hAnsi="Times New Roman" w:cs="Times New Roman"/>
                <w:color w:val="000000"/>
                <w:sz w:val="24"/>
                <w:szCs w:val="24"/>
                <w:lang w:eastAsia="bg-BG"/>
              </w:rPr>
              <w:t>Small</w:t>
            </w:r>
            <w:proofErr w:type="spellEnd"/>
            <w:r w:rsidRPr="009E375A">
              <w:rPr>
                <w:rFonts w:ascii="Times New Roman" w:eastAsia="Times New Roman" w:hAnsi="Times New Roman" w:cs="Times New Roman"/>
                <w:color w:val="000000"/>
                <w:sz w:val="24"/>
                <w:szCs w:val="24"/>
                <w:lang w:eastAsia="bg-BG"/>
              </w:rPr>
              <w:t xml:space="preserve"> </w:t>
            </w:r>
            <w:proofErr w:type="spellStart"/>
            <w:r w:rsidRPr="009E375A">
              <w:rPr>
                <w:rFonts w:ascii="Times New Roman" w:eastAsia="Times New Roman" w:hAnsi="Times New Roman" w:cs="Times New Roman"/>
                <w:color w:val="000000"/>
                <w:sz w:val="24"/>
                <w:szCs w:val="24"/>
                <w:lang w:eastAsia="bg-BG"/>
              </w:rPr>
              <w:t>Mid-Caps</w:t>
            </w:r>
            <w:proofErr w:type="spellEnd"/>
            <w:r w:rsidRPr="009E375A">
              <w:rPr>
                <w:rFonts w:ascii="Times New Roman" w:eastAsia="Times New Roman" w:hAnsi="Times New Roman" w:cs="Times New Roman"/>
                <w:color w:val="000000"/>
                <w:sz w:val="24"/>
                <w:szCs w:val="24"/>
                <w:lang w:eastAsia="bg-BG"/>
              </w:rPr>
              <w:t>)“ са предприятия, които по показатели не са МСП, но средно списъчният брой на персонала им е до 499 служители, и чийто годишен оборот не надвишава 100 милиона евро или чийто годишен баланс не надвишава 86 милиона евро, като са взети предвид всички отношения на партньорство и свързаност с други предприятия по смисъла на чл. 4 от ЗМСП.</w:t>
            </w:r>
          </w:p>
        </w:tc>
      </w:tr>
      <w:tr w:rsidR="00547B5C" w:rsidRPr="00686F1F" w14:paraId="2B8C6DB6" w14:textId="77777777" w:rsidTr="000E38C4">
        <w:tc>
          <w:tcPr>
            <w:tcW w:w="0" w:type="auto"/>
            <w:shd w:val="clear" w:color="000000" w:fill="E6E6E6"/>
            <w:vAlign w:val="center"/>
            <w:hideMark/>
          </w:tcPr>
          <w:p w14:paraId="1F316A7C"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 xml:space="preserve">Място на изпълнение на проекта </w:t>
            </w:r>
          </w:p>
        </w:tc>
        <w:tc>
          <w:tcPr>
            <w:tcW w:w="0" w:type="auto"/>
            <w:shd w:val="clear" w:color="000000" w:fill="F3F3F3"/>
            <w:vAlign w:val="center"/>
            <w:hideMark/>
          </w:tcPr>
          <w:p w14:paraId="45CED9F5"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Мястото на физическото осъществяване на дейността.</w:t>
            </w:r>
          </w:p>
        </w:tc>
      </w:tr>
      <w:tr w:rsidR="00547B5C" w:rsidRPr="00686F1F" w14:paraId="4AD0DE1C" w14:textId="77777777" w:rsidTr="000E38C4">
        <w:tc>
          <w:tcPr>
            <w:tcW w:w="0" w:type="auto"/>
            <w:shd w:val="clear" w:color="000000" w:fill="E6E6E6"/>
            <w:vAlign w:val="center"/>
            <w:hideMark/>
          </w:tcPr>
          <w:p w14:paraId="4559B390"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Национално съфинансиране</w:t>
            </w:r>
          </w:p>
        </w:tc>
        <w:tc>
          <w:tcPr>
            <w:tcW w:w="0" w:type="auto"/>
            <w:shd w:val="clear" w:color="000000" w:fill="F3F3F3"/>
            <w:vAlign w:val="center"/>
            <w:hideMark/>
          </w:tcPr>
          <w:p w14:paraId="1D4A69FD" w14:textId="77777777" w:rsidR="003754C6" w:rsidRPr="009E375A"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9E375A">
              <w:rPr>
                <w:rFonts w:ascii="Times New Roman" w:eastAsia="Times New Roman" w:hAnsi="Times New Roman" w:cs="Times New Roman"/>
                <w:color w:val="000000"/>
                <w:sz w:val="24"/>
                <w:szCs w:val="24"/>
                <w:lang w:eastAsia="bg-BG"/>
              </w:rPr>
              <w:t>Съфинансиране, осигурено чрез трансфер от централния бюджет съгласно чл. 60, т. 2 от Закона за публичните финанси.</w:t>
            </w:r>
          </w:p>
        </w:tc>
      </w:tr>
      <w:tr w:rsidR="00547B5C" w:rsidRPr="00686F1F" w14:paraId="04034A90" w14:textId="77777777" w:rsidTr="000E38C4">
        <w:tc>
          <w:tcPr>
            <w:tcW w:w="0" w:type="auto"/>
            <w:shd w:val="clear" w:color="000000" w:fill="E6E6E6"/>
            <w:vAlign w:val="center"/>
            <w:hideMark/>
          </w:tcPr>
          <w:p w14:paraId="49E5B1C9"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Нематериални активи</w:t>
            </w:r>
          </w:p>
        </w:tc>
        <w:tc>
          <w:tcPr>
            <w:tcW w:w="0" w:type="auto"/>
            <w:shd w:val="clear" w:color="000000" w:fill="F3F3F3"/>
            <w:vAlign w:val="center"/>
            <w:hideMark/>
          </w:tcPr>
          <w:p w14:paraId="0BE24F27" w14:textId="77777777" w:rsidR="003754C6" w:rsidRPr="009E375A"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9E375A">
              <w:rPr>
                <w:rFonts w:ascii="Times New Roman" w:eastAsia="Times New Roman" w:hAnsi="Times New Roman" w:cs="Times New Roman"/>
                <w:color w:val="000000"/>
                <w:sz w:val="24"/>
                <w:szCs w:val="24"/>
                <w:lang w:eastAsia="bg-BG"/>
              </w:rPr>
              <w:t xml:space="preserve">По смисъла на чл. 2, </w:t>
            </w:r>
            <w:proofErr w:type="spellStart"/>
            <w:r w:rsidRPr="009E375A">
              <w:rPr>
                <w:rFonts w:ascii="Times New Roman" w:eastAsia="Times New Roman" w:hAnsi="Times New Roman" w:cs="Times New Roman"/>
                <w:color w:val="000000"/>
                <w:sz w:val="24"/>
                <w:szCs w:val="24"/>
                <w:lang w:eastAsia="bg-BG"/>
              </w:rPr>
              <w:t>пар</w:t>
            </w:r>
            <w:proofErr w:type="spellEnd"/>
            <w:r w:rsidRPr="009E375A">
              <w:rPr>
                <w:rFonts w:ascii="Times New Roman" w:eastAsia="Times New Roman" w:hAnsi="Times New Roman" w:cs="Times New Roman"/>
                <w:color w:val="000000"/>
                <w:sz w:val="24"/>
                <w:szCs w:val="24"/>
                <w:lang w:eastAsia="bg-BG"/>
              </w:rPr>
              <w:t xml:space="preserve">. 30 от Регламент (ЕО) № 651/2014 „Нематериални активи“ означава активи, които нямат физически или финансов израз, като патенти, лицензи, </w:t>
            </w:r>
            <w:proofErr w:type="spellStart"/>
            <w:r w:rsidRPr="009E375A">
              <w:rPr>
                <w:rFonts w:ascii="Times New Roman" w:eastAsia="Times New Roman" w:hAnsi="Times New Roman" w:cs="Times New Roman"/>
                <w:color w:val="000000"/>
                <w:sz w:val="24"/>
                <w:szCs w:val="24"/>
                <w:lang w:eastAsia="bg-BG"/>
              </w:rPr>
              <w:t>ноу</w:t>
            </w:r>
            <w:proofErr w:type="spellEnd"/>
            <w:r w:rsidRPr="009E375A">
              <w:rPr>
                <w:rFonts w:ascii="Times New Roman" w:eastAsia="Times New Roman" w:hAnsi="Times New Roman" w:cs="Times New Roman"/>
                <w:color w:val="000000"/>
                <w:sz w:val="24"/>
                <w:szCs w:val="24"/>
                <w:lang w:eastAsia="bg-BG"/>
              </w:rPr>
              <w:t xml:space="preserve">- </w:t>
            </w:r>
            <w:proofErr w:type="spellStart"/>
            <w:r w:rsidRPr="009E375A">
              <w:rPr>
                <w:rFonts w:ascii="Times New Roman" w:eastAsia="Times New Roman" w:hAnsi="Times New Roman" w:cs="Times New Roman"/>
                <w:color w:val="000000"/>
                <w:sz w:val="24"/>
                <w:szCs w:val="24"/>
                <w:lang w:eastAsia="bg-BG"/>
              </w:rPr>
              <w:t>хау</w:t>
            </w:r>
            <w:proofErr w:type="spellEnd"/>
            <w:r w:rsidRPr="009E375A">
              <w:rPr>
                <w:rFonts w:ascii="Times New Roman" w:eastAsia="Times New Roman" w:hAnsi="Times New Roman" w:cs="Times New Roman"/>
                <w:color w:val="000000"/>
                <w:sz w:val="24"/>
                <w:szCs w:val="24"/>
                <w:lang w:eastAsia="bg-BG"/>
              </w:rPr>
              <w:t xml:space="preserve"> или друга интелектуална собственост.</w:t>
            </w:r>
          </w:p>
        </w:tc>
      </w:tr>
      <w:tr w:rsidR="00547B5C" w:rsidRPr="00686F1F" w14:paraId="5D932D10" w14:textId="77777777" w:rsidTr="000E38C4">
        <w:tc>
          <w:tcPr>
            <w:tcW w:w="0" w:type="auto"/>
            <w:shd w:val="clear" w:color="000000" w:fill="E6E6E6"/>
            <w:vAlign w:val="center"/>
            <w:hideMark/>
          </w:tcPr>
          <w:p w14:paraId="0D501D0E"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proofErr w:type="spellStart"/>
            <w:r w:rsidRPr="00686F1F">
              <w:rPr>
                <w:rFonts w:ascii="Times New Roman" w:eastAsia="Times New Roman" w:hAnsi="Times New Roman" w:cs="Times New Roman"/>
                <w:b/>
                <w:bCs/>
                <w:color w:val="000000"/>
                <w:sz w:val="24"/>
                <w:szCs w:val="24"/>
                <w:lang w:eastAsia="bg-BG"/>
              </w:rPr>
              <w:t>Ненанасяне</w:t>
            </w:r>
            <w:proofErr w:type="spellEnd"/>
            <w:r w:rsidRPr="00686F1F">
              <w:rPr>
                <w:rFonts w:ascii="Times New Roman" w:eastAsia="Times New Roman" w:hAnsi="Times New Roman" w:cs="Times New Roman"/>
                <w:b/>
                <w:bCs/>
                <w:color w:val="000000"/>
                <w:sz w:val="24"/>
                <w:szCs w:val="24"/>
                <w:lang w:eastAsia="bg-BG"/>
              </w:rPr>
              <w:t xml:space="preserve"> на значителни вреди</w:t>
            </w:r>
          </w:p>
        </w:tc>
        <w:tc>
          <w:tcPr>
            <w:tcW w:w="0" w:type="auto"/>
            <w:shd w:val="clear" w:color="000000" w:fill="F3F3F3"/>
            <w:vAlign w:val="center"/>
            <w:hideMark/>
          </w:tcPr>
          <w:p w14:paraId="5577520A"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w:t>
            </w:r>
            <w:proofErr w:type="spellStart"/>
            <w:r w:rsidRPr="00686F1F">
              <w:rPr>
                <w:rFonts w:ascii="Times New Roman" w:eastAsia="Times New Roman" w:hAnsi="Times New Roman" w:cs="Times New Roman"/>
                <w:color w:val="000000"/>
                <w:sz w:val="24"/>
                <w:szCs w:val="24"/>
                <w:lang w:eastAsia="bg-BG"/>
              </w:rPr>
              <w:t>Ненанасяне</w:t>
            </w:r>
            <w:proofErr w:type="spellEnd"/>
            <w:r w:rsidRPr="00686F1F">
              <w:rPr>
                <w:rFonts w:ascii="Times New Roman" w:eastAsia="Times New Roman" w:hAnsi="Times New Roman" w:cs="Times New Roman"/>
                <w:color w:val="000000"/>
                <w:sz w:val="24"/>
                <w:szCs w:val="24"/>
                <w:lang w:eastAsia="bg-BG"/>
              </w:rPr>
              <w:t xml:space="preserve"> на значителни вреди“ означава да не се подкрепят или извършват икономически дейности, които нанасят значителни вреди на която и да било екологична цел, когато е приложимо, по смисъла на член 17 от Регламент (ЕС) 2020/852.</w:t>
            </w:r>
          </w:p>
        </w:tc>
      </w:tr>
      <w:tr w:rsidR="00547B5C" w:rsidRPr="00686F1F" w14:paraId="2CA68EFE" w14:textId="77777777" w:rsidTr="000E38C4">
        <w:tc>
          <w:tcPr>
            <w:tcW w:w="0" w:type="auto"/>
            <w:shd w:val="clear" w:color="000000" w:fill="E6E6E6"/>
            <w:vAlign w:val="center"/>
            <w:hideMark/>
          </w:tcPr>
          <w:p w14:paraId="72349A13"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 xml:space="preserve">Нередност </w:t>
            </w:r>
          </w:p>
        </w:tc>
        <w:tc>
          <w:tcPr>
            <w:tcW w:w="0" w:type="auto"/>
            <w:shd w:val="clear" w:color="000000" w:fill="F3F3F3"/>
            <w:vAlign w:val="center"/>
            <w:hideMark/>
          </w:tcPr>
          <w:p w14:paraId="6707ADE1"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p>
        </w:tc>
      </w:tr>
      <w:tr w:rsidR="00547B5C" w:rsidRPr="00686F1F" w14:paraId="482CB446" w14:textId="77777777" w:rsidTr="000E38C4">
        <w:tc>
          <w:tcPr>
            <w:tcW w:w="0" w:type="auto"/>
            <w:shd w:val="clear" w:color="000000" w:fill="E6E6E6"/>
            <w:vAlign w:val="center"/>
            <w:hideMark/>
          </w:tcPr>
          <w:p w14:paraId="1AADDC9C"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Показател за краен продукт</w:t>
            </w:r>
          </w:p>
        </w:tc>
        <w:tc>
          <w:tcPr>
            <w:tcW w:w="0" w:type="auto"/>
            <w:shd w:val="clear" w:color="000000" w:fill="F3F3F3"/>
            <w:vAlign w:val="center"/>
            <w:hideMark/>
          </w:tcPr>
          <w:p w14:paraId="1AF51B80" w14:textId="66390A6F"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Показател</w:t>
            </w:r>
            <w:r w:rsidR="00427A57" w:rsidRPr="00686F1F">
              <w:rPr>
                <w:rFonts w:ascii="Times New Roman" w:eastAsia="Times New Roman" w:hAnsi="Times New Roman" w:cs="Times New Roman"/>
                <w:color w:val="000000"/>
                <w:sz w:val="24"/>
                <w:szCs w:val="24"/>
                <w:lang w:eastAsia="bg-BG"/>
              </w:rPr>
              <w:t xml:space="preserve"> (индикатор)</w:t>
            </w:r>
            <w:r w:rsidRPr="00686F1F">
              <w:rPr>
                <w:rFonts w:ascii="Times New Roman" w:eastAsia="Times New Roman" w:hAnsi="Times New Roman" w:cs="Times New Roman"/>
                <w:color w:val="000000"/>
                <w:sz w:val="24"/>
                <w:szCs w:val="24"/>
                <w:lang w:eastAsia="bg-BG"/>
              </w:rPr>
              <w:t xml:space="preserve"> за измерване на конкретните резултати от интервенцията.</w:t>
            </w:r>
            <w:r w:rsidR="00427A57" w:rsidRPr="00686F1F">
              <w:rPr>
                <w:rFonts w:ascii="Times New Roman" w:eastAsia="Times New Roman" w:hAnsi="Times New Roman" w:cs="Times New Roman"/>
                <w:color w:val="000000"/>
                <w:sz w:val="24"/>
                <w:szCs w:val="24"/>
                <w:lang w:eastAsia="bg-BG"/>
              </w:rPr>
              <w:t xml:space="preserve"> </w:t>
            </w:r>
          </w:p>
        </w:tc>
      </w:tr>
      <w:tr w:rsidR="00547B5C" w:rsidRPr="00686F1F" w14:paraId="507BC97B" w14:textId="77777777" w:rsidTr="000E38C4">
        <w:tc>
          <w:tcPr>
            <w:tcW w:w="0" w:type="auto"/>
            <w:shd w:val="clear" w:color="000000" w:fill="E6E6E6"/>
            <w:vAlign w:val="center"/>
            <w:hideMark/>
          </w:tcPr>
          <w:p w14:paraId="760CB2CD" w14:textId="03EC8802"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lastRenderedPageBreak/>
              <w:t>Партньор по</w:t>
            </w:r>
            <w:r w:rsidR="001A4EAB" w:rsidRPr="00686F1F">
              <w:rPr>
                <w:rFonts w:ascii="Times New Roman" w:eastAsia="Times New Roman" w:hAnsi="Times New Roman" w:cs="Times New Roman"/>
                <w:b/>
                <w:bCs/>
                <w:color w:val="000000"/>
                <w:sz w:val="24"/>
                <w:szCs w:val="24"/>
                <w:lang w:eastAsia="bg-BG"/>
              </w:rPr>
              <w:t xml:space="preserve"> проект</w:t>
            </w:r>
            <w:r w:rsidR="00FD39A7" w:rsidRPr="00686F1F">
              <w:rPr>
                <w:rFonts w:ascii="Times New Roman" w:eastAsia="Times New Roman" w:hAnsi="Times New Roman" w:cs="Times New Roman"/>
                <w:b/>
                <w:bCs/>
                <w:color w:val="000000"/>
                <w:sz w:val="24"/>
                <w:szCs w:val="24"/>
                <w:lang w:eastAsia="bg-BG"/>
              </w:rPr>
              <w:t>а</w:t>
            </w:r>
            <w:r w:rsidR="001A4EAB" w:rsidRPr="00686F1F">
              <w:rPr>
                <w:rFonts w:ascii="Times New Roman" w:eastAsia="Times New Roman" w:hAnsi="Times New Roman" w:cs="Times New Roman"/>
                <w:b/>
                <w:bCs/>
                <w:color w:val="000000"/>
                <w:sz w:val="24"/>
                <w:szCs w:val="24"/>
                <w:lang w:eastAsia="bg-BG"/>
              </w:rPr>
              <w:t xml:space="preserve"> по</w:t>
            </w:r>
            <w:r w:rsidRPr="00686F1F">
              <w:rPr>
                <w:rFonts w:ascii="Times New Roman" w:eastAsia="Times New Roman" w:hAnsi="Times New Roman" w:cs="Times New Roman"/>
                <w:b/>
                <w:bCs/>
                <w:color w:val="000000"/>
                <w:sz w:val="24"/>
                <w:szCs w:val="24"/>
                <w:lang w:eastAsia="bg-BG"/>
              </w:rPr>
              <w:t xml:space="preserve"> програма „Цифрова Европа“</w:t>
            </w:r>
            <w:r w:rsidR="00997825" w:rsidRPr="00686F1F">
              <w:rPr>
                <w:rFonts w:ascii="Times New Roman" w:eastAsia="Times New Roman" w:hAnsi="Times New Roman" w:cs="Times New Roman"/>
                <w:b/>
                <w:bCs/>
                <w:color w:val="000000"/>
                <w:sz w:val="24"/>
                <w:szCs w:val="24"/>
                <w:lang w:eastAsia="bg-BG"/>
              </w:rPr>
              <w:t xml:space="preserve"> и ПНИИДИТ</w:t>
            </w:r>
          </w:p>
        </w:tc>
        <w:tc>
          <w:tcPr>
            <w:tcW w:w="0" w:type="auto"/>
            <w:shd w:val="clear" w:color="000000" w:fill="F3F3F3"/>
            <w:vAlign w:val="center"/>
            <w:hideMark/>
          </w:tcPr>
          <w:p w14:paraId="6034465A"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Партньорите са бенефициенти по ПЦЕ, които са част от проекта и сключват договор с ЕК посредством подписването на форма за присъединяване. Партньорите, заедно с координатора са задължени да осигурят нормалното, навременно и качествено изпълнение на заложените дейности по проектите. Партньорите са обвързани с условията и разпоредбите на сключените договори между координатора и ПЦЕ и УО на ПНИИДИТ.</w:t>
            </w:r>
          </w:p>
        </w:tc>
      </w:tr>
      <w:tr w:rsidR="00547B5C" w:rsidRPr="00686F1F" w14:paraId="5CBAC7A8" w14:textId="77777777" w:rsidTr="000E38C4">
        <w:tc>
          <w:tcPr>
            <w:tcW w:w="0" w:type="auto"/>
            <w:shd w:val="clear" w:color="000000" w:fill="E6E6E6"/>
            <w:vAlign w:val="center"/>
            <w:hideMark/>
          </w:tcPr>
          <w:p w14:paraId="37ED44E8"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Предприятие</w:t>
            </w:r>
          </w:p>
        </w:tc>
        <w:tc>
          <w:tcPr>
            <w:tcW w:w="0" w:type="auto"/>
            <w:shd w:val="clear" w:color="000000" w:fill="F3F3F3"/>
            <w:vAlign w:val="center"/>
            <w:hideMark/>
          </w:tcPr>
          <w:p w14:paraId="24794E3A" w14:textId="77777777" w:rsidR="003754C6" w:rsidRPr="009E375A"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9E375A">
              <w:rPr>
                <w:rFonts w:ascii="Times New Roman" w:eastAsia="Times New Roman" w:hAnsi="Times New Roman" w:cs="Times New Roman"/>
                <w:color w:val="000000"/>
                <w:sz w:val="24"/>
                <w:szCs w:val="24"/>
                <w:lang w:eastAsia="bg-BG"/>
              </w:rPr>
              <w:t>Съгласно § 1, т. 1 от Допълнителните разпоредби на Закона за малките и средни предприятия, „предприятие” е всяко физическо лице, юридическо лице или гражданско дружество, което извършва стопанска дейност, независимо от собствеността, правната и организационната си форма.</w:t>
            </w:r>
          </w:p>
        </w:tc>
      </w:tr>
      <w:tr w:rsidR="00547B5C" w:rsidRPr="00686F1F" w14:paraId="1A1F13D2" w14:textId="77777777" w:rsidTr="000E38C4">
        <w:tc>
          <w:tcPr>
            <w:tcW w:w="0" w:type="auto"/>
            <w:shd w:val="clear" w:color="000000" w:fill="E6E6E6"/>
            <w:vAlign w:val="center"/>
            <w:hideMark/>
          </w:tcPr>
          <w:p w14:paraId="048A67E7"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Предприятие в затруднено положение</w:t>
            </w:r>
          </w:p>
        </w:tc>
        <w:tc>
          <w:tcPr>
            <w:tcW w:w="0" w:type="auto"/>
            <w:shd w:val="clear" w:color="000000" w:fill="F3F3F3"/>
            <w:vAlign w:val="center"/>
            <w:hideMark/>
          </w:tcPr>
          <w:p w14:paraId="28652680" w14:textId="77777777" w:rsidR="003754C6" w:rsidRPr="009E375A"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9E375A">
              <w:rPr>
                <w:rFonts w:ascii="Times New Roman" w:eastAsia="Times New Roman" w:hAnsi="Times New Roman" w:cs="Times New Roman"/>
                <w:color w:val="000000"/>
                <w:sz w:val="24"/>
                <w:szCs w:val="24"/>
                <w:lang w:eastAsia="bg-BG"/>
              </w:rPr>
              <w:t>Съгласно чл.2, пар.18 от Регламент (ЕО) № 651/2014 предприятие в затруднено положение е предприятие, по отношение на което е изпълнено поне едно от следните обстоятелства:</w:t>
            </w:r>
          </w:p>
          <w:p w14:paraId="4B82BB4A" w14:textId="77777777" w:rsidR="003754C6" w:rsidRPr="009E375A"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9E375A">
              <w:rPr>
                <w:rFonts w:ascii="Times New Roman" w:eastAsia="Times New Roman" w:hAnsi="Times New Roman" w:cs="Times New Roman"/>
                <w:color w:val="000000"/>
                <w:sz w:val="24"/>
                <w:szCs w:val="24"/>
                <w:lang w:eastAsia="bg-BG"/>
              </w:rPr>
              <w:t>а) в случай на акционерно дружество, дружество с ограничена отговорност, командитно дружество с акции или кооперация или други дружества по Приложение I към Директива 2013/34/ЕС (което не е МСП, което съществува по-малко от три години),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надхвърля половината от записания акционерен капитал. За целите на настоящата разпоредба под понятието „дружество с ограничена отговорност" се разбира по-специално видовете дружества, посочени в приложение I към Директива 2013/34/ЕС, а понятието „акционерен капитал" включва, когато е уместно, премии от акции;</w:t>
            </w:r>
          </w:p>
          <w:p w14:paraId="7157E7F6" w14:textId="77777777" w:rsidR="003754C6" w:rsidRPr="009E375A"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9E375A">
              <w:rPr>
                <w:rFonts w:ascii="Times New Roman" w:eastAsia="Times New Roman" w:hAnsi="Times New Roman" w:cs="Times New Roman"/>
                <w:color w:val="000000"/>
                <w:sz w:val="24"/>
                <w:szCs w:val="24"/>
                <w:lang w:eastAsia="bg-BG"/>
              </w:rPr>
              <w:t>б) в случай на събирателно дружество, командитно дружество или едноличен търговец или други лица по Приложение II към Директива 2013/34/ЕС (което не е МСП, което съществува по-малко от три години), когато капиталът, вписан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съдружници носят неограничена отговорност за задълженията на дружеството", се разбира по-</w:t>
            </w:r>
            <w:r w:rsidRPr="009E375A">
              <w:rPr>
                <w:rFonts w:ascii="Times New Roman" w:eastAsia="Times New Roman" w:hAnsi="Times New Roman" w:cs="Times New Roman"/>
                <w:color w:val="000000"/>
                <w:sz w:val="24"/>
                <w:szCs w:val="24"/>
                <w:lang w:eastAsia="bg-BG"/>
              </w:rPr>
              <w:lastRenderedPageBreak/>
              <w:t>специално типовете дружества, посочени в приложение II към Директива 2013/34/ЕС;</w:t>
            </w:r>
          </w:p>
          <w:p w14:paraId="546ABFA7" w14:textId="77777777" w:rsidR="003754C6" w:rsidRPr="009E375A"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9E375A">
              <w:rPr>
                <w:rFonts w:ascii="Times New Roman" w:eastAsia="Times New Roman" w:hAnsi="Times New Roman" w:cs="Times New Roman"/>
                <w:color w:val="000000"/>
                <w:sz w:val="24"/>
                <w:szCs w:val="24"/>
                <w:lang w:eastAsia="bg-BG"/>
              </w:rPr>
              <w:t>в)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14:paraId="4CC0C3A9" w14:textId="1E474A1A" w:rsidR="003754C6" w:rsidRPr="009E375A"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9E375A">
              <w:rPr>
                <w:rFonts w:ascii="Times New Roman" w:eastAsia="Times New Roman" w:hAnsi="Times New Roman" w:cs="Times New Roman"/>
                <w:color w:val="000000"/>
                <w:sz w:val="24"/>
                <w:szCs w:val="24"/>
                <w:lang w:eastAsia="bg-BG"/>
              </w:rPr>
              <w:t>г)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tc>
      </w:tr>
      <w:tr w:rsidR="00547B5C" w:rsidRPr="00686F1F" w14:paraId="462E32B4" w14:textId="77777777" w:rsidTr="000E38C4">
        <w:tc>
          <w:tcPr>
            <w:tcW w:w="0" w:type="auto"/>
            <w:shd w:val="clear" w:color="000000" w:fill="E6E6E6"/>
            <w:vAlign w:val="center"/>
            <w:hideMark/>
          </w:tcPr>
          <w:p w14:paraId="62C6D133"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lastRenderedPageBreak/>
              <w:t>Преработка на селскостопански продукти</w:t>
            </w:r>
          </w:p>
        </w:tc>
        <w:tc>
          <w:tcPr>
            <w:tcW w:w="0" w:type="auto"/>
            <w:shd w:val="clear" w:color="000000" w:fill="F3F3F3"/>
            <w:vAlign w:val="center"/>
            <w:hideMark/>
          </w:tcPr>
          <w:p w14:paraId="00548991"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2465E6">
              <w:rPr>
                <w:rFonts w:ascii="Times New Roman" w:eastAsia="Times New Roman" w:hAnsi="Times New Roman" w:cs="Times New Roman"/>
                <w:color w:val="000000"/>
                <w:sz w:val="24"/>
                <w:szCs w:val="24"/>
                <w:lang w:eastAsia="bg-BG"/>
              </w:rPr>
              <w:t>Съгласно чл.2, пар.11 от Регламент (ЕО) № 651/2014 това е всяка една операция върху селскостопански продукт,</w:t>
            </w:r>
            <w:r w:rsidRPr="00686F1F">
              <w:rPr>
                <w:rFonts w:ascii="Times New Roman" w:eastAsia="Times New Roman" w:hAnsi="Times New Roman" w:cs="Times New Roman"/>
                <w:color w:val="000000"/>
                <w:sz w:val="24"/>
                <w:szCs w:val="24"/>
                <w:lang w:eastAsia="bg-BG"/>
              </w:rPr>
              <w:t xml:space="preserve"> от която се получава също селскостопански продукт, с изключение на дейностите, осъществявани на място в земеделското стопанство, които са необходими за подготовката на животински или растителен продукт за първата му продажба.</w:t>
            </w:r>
          </w:p>
        </w:tc>
      </w:tr>
      <w:tr w:rsidR="00547B5C" w:rsidRPr="00686F1F" w14:paraId="388DB964" w14:textId="77777777" w:rsidTr="000E38C4">
        <w:tc>
          <w:tcPr>
            <w:tcW w:w="0" w:type="auto"/>
            <w:shd w:val="clear" w:color="000000" w:fill="E6E6E6"/>
            <w:vAlign w:val="center"/>
            <w:hideMark/>
          </w:tcPr>
          <w:p w14:paraId="755BF19D"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Проект</w:t>
            </w:r>
          </w:p>
        </w:tc>
        <w:tc>
          <w:tcPr>
            <w:tcW w:w="0" w:type="auto"/>
            <w:shd w:val="clear" w:color="000000" w:fill="F3F3F3"/>
            <w:vAlign w:val="center"/>
            <w:hideMark/>
          </w:tcPr>
          <w:p w14:paraId="63511489"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 xml:space="preserve">Съвкупност от взаимосвързани и </w:t>
            </w:r>
            <w:proofErr w:type="spellStart"/>
            <w:r w:rsidRPr="00686F1F">
              <w:rPr>
                <w:rFonts w:ascii="Times New Roman" w:eastAsia="Times New Roman" w:hAnsi="Times New Roman" w:cs="Times New Roman"/>
                <w:color w:val="000000"/>
                <w:sz w:val="24"/>
                <w:szCs w:val="24"/>
                <w:lang w:eastAsia="bg-BG"/>
              </w:rPr>
              <w:t>взаимодопълващи</w:t>
            </w:r>
            <w:proofErr w:type="spellEnd"/>
            <w:r w:rsidRPr="00686F1F">
              <w:rPr>
                <w:rFonts w:ascii="Times New Roman" w:eastAsia="Times New Roman" w:hAnsi="Times New Roman" w:cs="Times New Roman"/>
                <w:color w:val="000000"/>
                <w:sz w:val="24"/>
                <w:szCs w:val="24"/>
                <w:lang w:eastAsia="bg-BG"/>
              </w:rPr>
              <w:t xml:space="preserve"> се дейности с предварително определена/и цел/и, необходими ресурси и времева рамка за изпълнение, водещи до постигането на конкретни количествено-измерими резултати.</w:t>
            </w:r>
          </w:p>
        </w:tc>
      </w:tr>
      <w:tr w:rsidR="00547B5C" w:rsidRPr="00686F1F" w14:paraId="509A0D2D" w14:textId="77777777" w:rsidTr="000E38C4">
        <w:tc>
          <w:tcPr>
            <w:tcW w:w="0" w:type="auto"/>
            <w:shd w:val="clear" w:color="000000" w:fill="E6E6E6"/>
            <w:vAlign w:val="center"/>
            <w:hideMark/>
          </w:tcPr>
          <w:p w14:paraId="300E0134"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 xml:space="preserve">Проектно предложение </w:t>
            </w:r>
          </w:p>
        </w:tc>
        <w:tc>
          <w:tcPr>
            <w:tcW w:w="0" w:type="auto"/>
            <w:shd w:val="clear" w:color="000000" w:fill="F3F3F3"/>
            <w:vAlign w:val="center"/>
            <w:hideMark/>
          </w:tcPr>
          <w:p w14:paraId="2450F37F" w14:textId="77777777" w:rsidR="003754C6" w:rsidRPr="009E375A"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9E375A">
              <w:rPr>
                <w:rFonts w:ascii="Times New Roman" w:eastAsia="Times New Roman" w:hAnsi="Times New Roman" w:cs="Times New Roman"/>
                <w:color w:val="000000"/>
                <w:sz w:val="24"/>
                <w:szCs w:val="24"/>
                <w:lang w:eastAsia="bg-BG"/>
              </w:rPr>
              <w:t>Предложение, подадено от кандидат, за предоставяне на безвъзмездна финансова помощ за изпълнението на определен проект, включващо формуляр за кандидатстване и други придружителни документи.</w:t>
            </w:r>
          </w:p>
        </w:tc>
      </w:tr>
      <w:tr w:rsidR="00547B5C" w:rsidRPr="00686F1F" w14:paraId="0FA91D43" w14:textId="77777777" w:rsidTr="000E38C4">
        <w:tc>
          <w:tcPr>
            <w:tcW w:w="0" w:type="auto"/>
            <w:shd w:val="clear" w:color="000000" w:fill="E6E6E6"/>
            <w:vAlign w:val="center"/>
            <w:hideMark/>
          </w:tcPr>
          <w:p w14:paraId="40F86079"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Първично селскостопанско производство</w:t>
            </w:r>
          </w:p>
        </w:tc>
        <w:tc>
          <w:tcPr>
            <w:tcW w:w="0" w:type="auto"/>
            <w:shd w:val="clear" w:color="000000" w:fill="F3F3F3"/>
            <w:vAlign w:val="center"/>
            <w:hideMark/>
          </w:tcPr>
          <w:p w14:paraId="1399D5BB" w14:textId="77777777" w:rsidR="003754C6" w:rsidRPr="009E375A"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9E375A">
              <w:rPr>
                <w:rFonts w:ascii="Times New Roman" w:eastAsia="Times New Roman" w:hAnsi="Times New Roman" w:cs="Times New Roman"/>
                <w:color w:val="000000"/>
                <w:sz w:val="24"/>
                <w:szCs w:val="24"/>
                <w:lang w:eastAsia="bg-BG"/>
              </w:rPr>
              <w:t xml:space="preserve">Съгласно чл. 2, </w:t>
            </w:r>
            <w:proofErr w:type="spellStart"/>
            <w:r w:rsidRPr="009E375A">
              <w:rPr>
                <w:rFonts w:ascii="Times New Roman" w:eastAsia="Times New Roman" w:hAnsi="Times New Roman" w:cs="Times New Roman"/>
                <w:color w:val="000000"/>
                <w:sz w:val="24"/>
                <w:szCs w:val="24"/>
                <w:lang w:eastAsia="bg-BG"/>
              </w:rPr>
              <w:t>пар</w:t>
            </w:r>
            <w:proofErr w:type="spellEnd"/>
            <w:r w:rsidRPr="009E375A">
              <w:rPr>
                <w:rFonts w:ascii="Times New Roman" w:eastAsia="Times New Roman" w:hAnsi="Times New Roman" w:cs="Times New Roman"/>
                <w:color w:val="000000"/>
                <w:sz w:val="24"/>
                <w:szCs w:val="24"/>
                <w:lang w:eastAsia="bg-BG"/>
              </w:rPr>
              <w:t>. 9 от Регламент (ЕО) № 651/2014  това е производство на продукти на почвата и на животновъдството, изброени в Приложение I към Договора за създаване на европейската, без да се извършват никакви по-нататъшни операции, с които се променя естеството на тези продукти.</w:t>
            </w:r>
          </w:p>
        </w:tc>
      </w:tr>
      <w:tr w:rsidR="00547B5C" w:rsidRPr="00686F1F" w14:paraId="6EFBAF5A" w14:textId="77777777" w:rsidTr="000E38C4">
        <w:tc>
          <w:tcPr>
            <w:tcW w:w="0" w:type="auto"/>
            <w:shd w:val="clear" w:color="000000" w:fill="E6E6E6"/>
            <w:vAlign w:val="center"/>
            <w:hideMark/>
          </w:tcPr>
          <w:p w14:paraId="65D43AE6"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Ръководител на Управляващия орган</w:t>
            </w:r>
          </w:p>
        </w:tc>
        <w:tc>
          <w:tcPr>
            <w:tcW w:w="0" w:type="auto"/>
            <w:shd w:val="clear" w:color="000000" w:fill="F3F3F3"/>
            <w:vAlign w:val="center"/>
            <w:hideMark/>
          </w:tcPr>
          <w:p w14:paraId="19E4862A"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Ръководителят на администрацията, в рамките на чиято структура се намира Управляващия орган или упълномощеното от него длъжностно лице.</w:t>
            </w:r>
          </w:p>
        </w:tc>
      </w:tr>
      <w:tr w:rsidR="00547B5C" w:rsidRPr="00686F1F" w14:paraId="4270523D" w14:textId="77777777" w:rsidTr="000E38C4">
        <w:tc>
          <w:tcPr>
            <w:tcW w:w="0" w:type="auto"/>
            <w:shd w:val="clear" w:color="000000" w:fill="E6E6E6"/>
            <w:vAlign w:val="center"/>
            <w:hideMark/>
          </w:tcPr>
          <w:p w14:paraId="48831571"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Свързани лица</w:t>
            </w:r>
          </w:p>
        </w:tc>
        <w:tc>
          <w:tcPr>
            <w:tcW w:w="0" w:type="auto"/>
            <w:shd w:val="clear" w:color="000000" w:fill="F3F3F3"/>
            <w:vAlign w:val="center"/>
            <w:hideMark/>
          </w:tcPr>
          <w:p w14:paraId="644C7AED" w14:textId="4D203CC3" w:rsidR="00F7709B" w:rsidRPr="008C25FB" w:rsidRDefault="00F7709B" w:rsidP="00F7709B">
            <w:pPr>
              <w:spacing w:after="0" w:line="240" w:lineRule="auto"/>
              <w:jc w:val="both"/>
              <w:rPr>
                <w:rFonts w:ascii="Times New Roman" w:eastAsia="Times New Roman" w:hAnsi="Times New Roman" w:cs="Times New Roman"/>
                <w:color w:val="000000"/>
                <w:sz w:val="24"/>
                <w:szCs w:val="24"/>
                <w:lang w:eastAsia="bg-BG"/>
              </w:rPr>
            </w:pPr>
            <w:r w:rsidRPr="008C25FB">
              <w:rPr>
                <w:rFonts w:ascii="Times New Roman" w:eastAsia="Times New Roman" w:hAnsi="Times New Roman" w:cs="Times New Roman"/>
                <w:color w:val="000000"/>
                <w:sz w:val="24"/>
                <w:szCs w:val="24"/>
                <w:lang w:eastAsia="bg-BG"/>
              </w:rPr>
              <w:t>По смисъла на Закона за изменение и допълнение на Закона за Сметната палата</w:t>
            </w:r>
            <w:r w:rsidRPr="008C25FB" w:rsidDel="00F7709B">
              <w:rPr>
                <w:rFonts w:ascii="Times New Roman" w:eastAsia="Times New Roman" w:hAnsi="Times New Roman" w:cs="Times New Roman"/>
                <w:color w:val="000000"/>
                <w:sz w:val="24"/>
                <w:szCs w:val="24"/>
                <w:lang w:eastAsia="bg-BG"/>
              </w:rPr>
              <w:t xml:space="preserve"> </w:t>
            </w:r>
            <w:r w:rsidRPr="008C25FB">
              <w:rPr>
                <w:rFonts w:ascii="Times New Roman" w:eastAsia="Times New Roman" w:hAnsi="Times New Roman" w:cs="Times New Roman"/>
                <w:i/>
                <w:iCs/>
                <w:color w:val="000000"/>
                <w:sz w:val="24"/>
                <w:szCs w:val="24"/>
                <w:lang w:eastAsia="bg-BG"/>
              </w:rPr>
              <w:t>"Свързани лица" са:</w:t>
            </w:r>
          </w:p>
          <w:p w14:paraId="6514B062" w14:textId="77777777" w:rsidR="00F7709B" w:rsidRPr="008C25FB" w:rsidRDefault="00F7709B" w:rsidP="00F7709B">
            <w:pPr>
              <w:spacing w:after="0" w:line="240" w:lineRule="auto"/>
              <w:jc w:val="both"/>
              <w:rPr>
                <w:rFonts w:ascii="Times New Roman" w:eastAsia="Times New Roman" w:hAnsi="Times New Roman" w:cs="Times New Roman"/>
                <w:color w:val="000000"/>
                <w:sz w:val="24"/>
                <w:szCs w:val="24"/>
                <w:lang w:eastAsia="bg-BG"/>
              </w:rPr>
            </w:pPr>
            <w:r w:rsidRPr="008C25FB">
              <w:rPr>
                <w:rFonts w:ascii="Times New Roman" w:eastAsia="Times New Roman" w:hAnsi="Times New Roman" w:cs="Times New Roman"/>
                <w:i/>
                <w:iCs/>
                <w:color w:val="000000"/>
                <w:sz w:val="24"/>
                <w:szCs w:val="24"/>
                <w:lang w:eastAsia="bg-BG"/>
              </w:rPr>
              <w:t>а) съпрузите или лицата, които се намират във фактическо съжителство на съпружески начала, роднините по права линия, по съребрена линия – до четвърта степен включително, и по сватовство – до втора степен включително;</w:t>
            </w:r>
          </w:p>
          <w:p w14:paraId="67DA72BB" w14:textId="45B2A31D" w:rsidR="003754C6" w:rsidRPr="008C25FB" w:rsidRDefault="00F7709B" w:rsidP="008C25FB">
            <w:pPr>
              <w:spacing w:after="0" w:line="240" w:lineRule="auto"/>
              <w:jc w:val="both"/>
              <w:rPr>
                <w:rFonts w:ascii="Times New Roman" w:eastAsia="Times New Roman" w:hAnsi="Times New Roman" w:cs="Times New Roman"/>
                <w:color w:val="000000"/>
                <w:sz w:val="24"/>
                <w:szCs w:val="24"/>
                <w:lang w:eastAsia="bg-BG"/>
              </w:rPr>
            </w:pPr>
            <w:r w:rsidRPr="008C25FB">
              <w:rPr>
                <w:rFonts w:ascii="Times New Roman" w:eastAsia="Times New Roman" w:hAnsi="Times New Roman" w:cs="Times New Roman"/>
                <w:i/>
                <w:iCs/>
                <w:color w:val="000000"/>
                <w:sz w:val="24"/>
                <w:szCs w:val="24"/>
                <w:lang w:eastAsia="bg-BG"/>
              </w:rPr>
              <w:t xml:space="preserve">б) физически и юридически лица, с които лицето, заемащо публична длъжност, се намира в икономически или политически зависимости, които </w:t>
            </w:r>
            <w:r w:rsidRPr="008C25FB">
              <w:rPr>
                <w:rFonts w:ascii="Times New Roman" w:eastAsia="Times New Roman" w:hAnsi="Times New Roman" w:cs="Times New Roman"/>
                <w:i/>
                <w:iCs/>
                <w:color w:val="000000"/>
                <w:sz w:val="24"/>
                <w:szCs w:val="24"/>
                <w:lang w:eastAsia="bg-BG"/>
              </w:rPr>
              <w:lastRenderedPageBreak/>
              <w:t>пораждат основателни съмнения в неговата безпристрастност и обективност.</w:t>
            </w:r>
          </w:p>
        </w:tc>
      </w:tr>
      <w:tr w:rsidR="00547B5C" w:rsidRPr="00686F1F" w14:paraId="67C37029" w14:textId="77777777" w:rsidTr="000E38C4">
        <w:tc>
          <w:tcPr>
            <w:tcW w:w="0" w:type="auto"/>
            <w:shd w:val="clear" w:color="000000" w:fill="E6E6E6"/>
            <w:vAlign w:val="center"/>
            <w:hideMark/>
          </w:tcPr>
          <w:p w14:paraId="18A01E76"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lastRenderedPageBreak/>
              <w:t>Сделка между несвързани лица</w:t>
            </w:r>
          </w:p>
        </w:tc>
        <w:tc>
          <w:tcPr>
            <w:tcW w:w="0" w:type="auto"/>
            <w:shd w:val="clear" w:color="000000" w:fill="F3F3F3"/>
            <w:vAlign w:val="center"/>
            <w:hideMark/>
          </w:tcPr>
          <w:p w14:paraId="51BD571A"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Сделка между несвързани лица означава, че условията на сделката между договарящите се страни не се различават от условията, които биха били договорени между независими предприятия, и не съдържат елемент на колизия. Всяка сделка, която е резултат от открита, прозрачна и недискриминационна процедура, се разглежда като съответстваща на принципа на сделката между несвързани лица.</w:t>
            </w:r>
          </w:p>
        </w:tc>
      </w:tr>
      <w:tr w:rsidR="00547B5C" w:rsidRPr="00686F1F" w14:paraId="14BD823D" w14:textId="77777777" w:rsidTr="000E38C4">
        <w:tc>
          <w:tcPr>
            <w:tcW w:w="0" w:type="auto"/>
            <w:shd w:val="clear" w:color="000000" w:fill="E6E6E6"/>
            <w:vAlign w:val="center"/>
            <w:hideMark/>
          </w:tcPr>
          <w:p w14:paraId="4FB2CE6D"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Селскостопански продукт</w:t>
            </w:r>
          </w:p>
        </w:tc>
        <w:tc>
          <w:tcPr>
            <w:tcW w:w="0" w:type="auto"/>
            <w:shd w:val="clear" w:color="000000" w:fill="F3F3F3"/>
            <w:vAlign w:val="center"/>
            <w:hideMark/>
          </w:tcPr>
          <w:p w14:paraId="19A61D44"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9E375A">
              <w:rPr>
                <w:rFonts w:ascii="Times New Roman" w:eastAsia="Times New Roman" w:hAnsi="Times New Roman" w:cs="Times New Roman"/>
                <w:color w:val="000000"/>
                <w:sz w:val="24"/>
                <w:szCs w:val="24"/>
                <w:lang w:eastAsia="bg-BG"/>
              </w:rPr>
              <w:t xml:space="preserve">Съгласно чл. 2, </w:t>
            </w:r>
            <w:proofErr w:type="spellStart"/>
            <w:r w:rsidRPr="009E375A">
              <w:rPr>
                <w:rFonts w:ascii="Times New Roman" w:eastAsia="Times New Roman" w:hAnsi="Times New Roman" w:cs="Times New Roman"/>
                <w:color w:val="000000"/>
                <w:sz w:val="24"/>
                <w:szCs w:val="24"/>
                <w:lang w:eastAsia="bg-BG"/>
              </w:rPr>
              <w:t>пар</w:t>
            </w:r>
            <w:proofErr w:type="spellEnd"/>
            <w:r w:rsidRPr="009E375A">
              <w:rPr>
                <w:rFonts w:ascii="Times New Roman" w:eastAsia="Times New Roman" w:hAnsi="Times New Roman" w:cs="Times New Roman"/>
                <w:color w:val="000000"/>
                <w:sz w:val="24"/>
                <w:szCs w:val="24"/>
                <w:lang w:eastAsia="bg-BG"/>
              </w:rPr>
              <w:t>. 11 от Регламент (ЕС) № 651/2014 „селскостопански продукт“ означава продукти, изброени в приложение</w:t>
            </w:r>
            <w:r w:rsidRPr="00686F1F">
              <w:rPr>
                <w:rFonts w:ascii="Times New Roman" w:eastAsia="Times New Roman" w:hAnsi="Times New Roman" w:cs="Times New Roman"/>
                <w:color w:val="000000"/>
                <w:sz w:val="24"/>
                <w:szCs w:val="24"/>
                <w:lang w:eastAsia="bg-BG"/>
              </w:rPr>
              <w:t xml:space="preserve"> I към Договора, с изключение на продукти на рибарството и </w:t>
            </w:r>
            <w:proofErr w:type="spellStart"/>
            <w:r w:rsidRPr="00686F1F">
              <w:rPr>
                <w:rFonts w:ascii="Times New Roman" w:eastAsia="Times New Roman" w:hAnsi="Times New Roman" w:cs="Times New Roman"/>
                <w:color w:val="000000"/>
                <w:sz w:val="24"/>
                <w:szCs w:val="24"/>
                <w:lang w:eastAsia="bg-BG"/>
              </w:rPr>
              <w:t>аквакултурите</w:t>
            </w:r>
            <w:proofErr w:type="spellEnd"/>
            <w:r w:rsidRPr="00686F1F">
              <w:rPr>
                <w:rFonts w:ascii="Times New Roman" w:eastAsia="Times New Roman" w:hAnsi="Times New Roman" w:cs="Times New Roman"/>
                <w:color w:val="000000"/>
                <w:sz w:val="24"/>
                <w:szCs w:val="24"/>
                <w:lang w:eastAsia="bg-BG"/>
              </w:rPr>
              <w:t>, изброени в приложение I към Регламент (ЕС) № 1379/2013 на Европейския парламент и на Съвета от 11 декември 2013 г.</w:t>
            </w:r>
          </w:p>
        </w:tc>
      </w:tr>
      <w:tr w:rsidR="00547B5C" w:rsidRPr="00686F1F" w14:paraId="7EDA5679" w14:textId="77777777" w:rsidTr="000E38C4">
        <w:tc>
          <w:tcPr>
            <w:tcW w:w="0" w:type="auto"/>
            <w:shd w:val="clear" w:color="000000" w:fill="E6E6E6"/>
            <w:vAlign w:val="center"/>
            <w:hideMark/>
          </w:tcPr>
          <w:p w14:paraId="453A0B0B"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Транспортни средства</w:t>
            </w:r>
          </w:p>
        </w:tc>
        <w:tc>
          <w:tcPr>
            <w:tcW w:w="0" w:type="auto"/>
            <w:shd w:val="clear" w:color="000000" w:fill="F3F3F3"/>
            <w:vAlign w:val="center"/>
            <w:hideMark/>
          </w:tcPr>
          <w:p w14:paraId="2205BEF1"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Включва следните дефиниции:</w:t>
            </w:r>
          </w:p>
          <w:p w14:paraId="517AED0E"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 xml:space="preserve"> - </w:t>
            </w:r>
            <w:r w:rsidRPr="00686F1F">
              <w:rPr>
                <w:rFonts w:ascii="Times New Roman" w:eastAsia="Times New Roman" w:hAnsi="Times New Roman" w:cs="Times New Roman"/>
                <w:i/>
                <w:iCs/>
                <w:color w:val="000000"/>
                <w:sz w:val="24"/>
                <w:szCs w:val="24"/>
                <w:lang w:eastAsia="bg-BG"/>
              </w:rPr>
              <w:t>Съгласно Закона за движението по пътищата:</w:t>
            </w:r>
          </w:p>
          <w:p w14:paraId="73E51331"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1. "Пътно превозно средство" е съоръжение, придвижвано по пътя на колела и използвано за превозване на хора и/или товари. Към пътните превозни средства се приравняват трамваите и самоходните машини, когато се придвижват по пътищата.</w:t>
            </w:r>
          </w:p>
          <w:p w14:paraId="361E283A"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2. "Моторно превозно средство" е пътно превозно средство, снабдено с двигател за придвижване, с изключение на релсовите превозни средства.</w:t>
            </w:r>
          </w:p>
          <w:p w14:paraId="3DFA026D" w14:textId="77777777" w:rsidR="003754C6" w:rsidRPr="00686F1F" w:rsidRDefault="003754C6" w:rsidP="003754C6">
            <w:pPr>
              <w:spacing w:after="0" w:line="240" w:lineRule="auto"/>
              <w:jc w:val="both"/>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За целите на настоящата процедура не представляват транспортни средства машини и съоръжения, които се придвижват само на територията на предприятието или се използват за вътрешно технологичен транспорт, при условие, че не се придвижват по пътищата.</w:t>
            </w:r>
          </w:p>
          <w:p w14:paraId="3B3BE2C5"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 xml:space="preserve">- </w:t>
            </w:r>
            <w:r w:rsidRPr="00686F1F">
              <w:rPr>
                <w:rFonts w:ascii="Times New Roman" w:eastAsia="Times New Roman" w:hAnsi="Times New Roman" w:cs="Times New Roman"/>
                <w:i/>
                <w:iCs/>
                <w:color w:val="000000"/>
                <w:sz w:val="24"/>
                <w:szCs w:val="24"/>
                <w:lang w:eastAsia="bg-BG"/>
              </w:rPr>
              <w:t>Съгласно Закона за гражданското въздухоплаване:</w:t>
            </w:r>
          </w:p>
          <w:p w14:paraId="03776AE0"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1. "Въздухоплавателно средство" е всяко средство,  което може да получи поддържане в атмосферата за сметка на реакцията на въздуха, освен реакцията на въздуха от земната повърхност.</w:t>
            </w:r>
          </w:p>
          <w:p w14:paraId="174BB58C"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 xml:space="preserve"> - </w:t>
            </w:r>
            <w:r w:rsidRPr="00686F1F">
              <w:rPr>
                <w:rFonts w:ascii="Times New Roman" w:eastAsia="Times New Roman" w:hAnsi="Times New Roman" w:cs="Times New Roman"/>
                <w:i/>
                <w:iCs/>
                <w:color w:val="000000"/>
                <w:sz w:val="24"/>
                <w:szCs w:val="24"/>
                <w:lang w:eastAsia="bg-BG"/>
              </w:rPr>
              <w:t>Съгласно Закона за железопътния транспорт:</w:t>
            </w:r>
          </w:p>
          <w:p w14:paraId="4E8068BE"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 xml:space="preserve">1. „Влак” е подреден и скачен състав от вагони с един или повече локомотиви в работно състояние, снабден със сигнали и влакови документи. Локомотиви, </w:t>
            </w:r>
            <w:proofErr w:type="spellStart"/>
            <w:r w:rsidRPr="00686F1F">
              <w:rPr>
                <w:rFonts w:ascii="Times New Roman" w:eastAsia="Times New Roman" w:hAnsi="Times New Roman" w:cs="Times New Roman"/>
                <w:color w:val="000000"/>
                <w:sz w:val="24"/>
                <w:szCs w:val="24"/>
                <w:lang w:eastAsia="bg-BG"/>
              </w:rPr>
              <w:t>мотрисни</w:t>
            </w:r>
            <w:proofErr w:type="spellEnd"/>
            <w:r w:rsidRPr="00686F1F">
              <w:rPr>
                <w:rFonts w:ascii="Times New Roman" w:eastAsia="Times New Roman" w:hAnsi="Times New Roman" w:cs="Times New Roman"/>
                <w:color w:val="000000"/>
                <w:sz w:val="24"/>
                <w:szCs w:val="24"/>
                <w:lang w:eastAsia="bg-BG"/>
              </w:rPr>
              <w:t xml:space="preserve"> влакове, мотриси, моторни дрезини и други моторни возила, </w:t>
            </w:r>
            <w:proofErr w:type="spellStart"/>
            <w:r w:rsidRPr="00686F1F">
              <w:rPr>
                <w:rFonts w:ascii="Times New Roman" w:eastAsia="Times New Roman" w:hAnsi="Times New Roman" w:cs="Times New Roman"/>
                <w:color w:val="000000"/>
                <w:sz w:val="24"/>
                <w:szCs w:val="24"/>
                <w:lang w:eastAsia="bg-BG"/>
              </w:rPr>
              <w:t>несваляеми</w:t>
            </w:r>
            <w:proofErr w:type="spellEnd"/>
            <w:r w:rsidRPr="00686F1F">
              <w:rPr>
                <w:rFonts w:ascii="Times New Roman" w:eastAsia="Times New Roman" w:hAnsi="Times New Roman" w:cs="Times New Roman"/>
                <w:color w:val="000000"/>
                <w:sz w:val="24"/>
                <w:szCs w:val="24"/>
                <w:lang w:eastAsia="bg-BG"/>
              </w:rPr>
              <w:t xml:space="preserve"> от пътя, отправени на </w:t>
            </w:r>
            <w:proofErr w:type="spellStart"/>
            <w:r w:rsidRPr="00686F1F">
              <w:rPr>
                <w:rFonts w:ascii="Times New Roman" w:eastAsia="Times New Roman" w:hAnsi="Times New Roman" w:cs="Times New Roman"/>
                <w:color w:val="000000"/>
                <w:sz w:val="24"/>
                <w:szCs w:val="24"/>
                <w:lang w:eastAsia="bg-BG"/>
              </w:rPr>
              <w:t>междугарие</w:t>
            </w:r>
            <w:proofErr w:type="spellEnd"/>
            <w:r w:rsidRPr="00686F1F">
              <w:rPr>
                <w:rFonts w:ascii="Times New Roman" w:eastAsia="Times New Roman" w:hAnsi="Times New Roman" w:cs="Times New Roman"/>
                <w:color w:val="000000"/>
                <w:sz w:val="24"/>
                <w:szCs w:val="24"/>
                <w:lang w:eastAsia="bg-BG"/>
              </w:rPr>
              <w:t>, се смятат за влакове.</w:t>
            </w:r>
          </w:p>
          <w:p w14:paraId="2F3F134C"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lastRenderedPageBreak/>
              <w:t xml:space="preserve"> - </w:t>
            </w:r>
            <w:r w:rsidRPr="00686F1F">
              <w:rPr>
                <w:rFonts w:ascii="Times New Roman" w:eastAsia="Times New Roman" w:hAnsi="Times New Roman" w:cs="Times New Roman"/>
                <w:i/>
                <w:iCs/>
                <w:color w:val="000000"/>
                <w:sz w:val="24"/>
                <w:szCs w:val="24"/>
                <w:lang w:eastAsia="bg-BG"/>
              </w:rPr>
              <w:t>Съгласно Закона за морските пространства, вътрешните водни пътища и пристанищата на Република България:</w:t>
            </w:r>
          </w:p>
          <w:p w14:paraId="21D40F05"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1. „Яхта” е кораб, използван за туризъм, спорт, спортен риболов или развлечение.</w:t>
            </w:r>
          </w:p>
          <w:p w14:paraId="5EC67744" w14:textId="5F51066F"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2. „Кораб” е всяко самоходно или несамоходно плавателно съоръжение от какъвто и да е тип, включително съдове на подводни криле, на въздушна възглавница, подводници, плаващи средства и неподвижни или плаващи платформи, предназначени за плаване по море и/или река, независимо от знамето, под което плава, и което се използва за извършване на една или няколко от следните дейности: превоз на товари, превоз на пътници и багажи; влачене на плавателни съоръжения; извършване на морски услуги и други помощни операции; риболов; експлоатация на други морски богатства, както и други дейности.</w:t>
            </w:r>
          </w:p>
        </w:tc>
      </w:tr>
      <w:tr w:rsidR="00547B5C" w:rsidRPr="00686F1F" w14:paraId="2CE42056" w14:textId="77777777" w:rsidTr="000E38C4">
        <w:tc>
          <w:tcPr>
            <w:tcW w:w="0" w:type="auto"/>
            <w:shd w:val="clear" w:color="000000" w:fill="E6E6E6"/>
            <w:vAlign w:val="center"/>
            <w:hideMark/>
          </w:tcPr>
          <w:p w14:paraId="7FF3F340"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lastRenderedPageBreak/>
              <w:t>Транспортен сектор</w:t>
            </w:r>
          </w:p>
        </w:tc>
        <w:tc>
          <w:tcPr>
            <w:tcW w:w="0" w:type="auto"/>
            <w:shd w:val="clear" w:color="000000" w:fill="F3F3F3"/>
            <w:vAlign w:val="center"/>
            <w:hideMark/>
          </w:tcPr>
          <w:p w14:paraId="16BD569A"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Съгласно чл.2, пар.45 от Регламент (ЕО) № 651/2014 „транспортен сектор“ означава превоз на пътници с въздушен, морски, автомобилен или железопътен транспорт и транспорт по вътрешни водни пътища или услугите по товарен превоз за чужда сметка или срещу възнаграждение. По-конкретно „транспортен сектор" означава следните дейности по КИД-2008:</w:t>
            </w:r>
          </w:p>
          <w:p w14:paraId="78B01920"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а) Н49 „Сухопътен транспорт“, с изключение на Н49.32 „Пътнически таксиметров транспорт“, Н49.42 „Услуги по преместване“, Н49.5 „Тръбопроводен транспорт“;</w:t>
            </w:r>
          </w:p>
          <w:p w14:paraId="16C0CFE5" w14:textId="77777777"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б) Н50 „Воден транспорт“;</w:t>
            </w:r>
          </w:p>
          <w:p w14:paraId="4CC7ED36" w14:textId="7DF453FD" w:rsidR="003754C6" w:rsidRPr="00686F1F"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в) Н51 „Въздушен транспорт“, с изключение на Н51.22 „Космически транспорт“.</w:t>
            </w:r>
          </w:p>
        </w:tc>
      </w:tr>
      <w:tr w:rsidR="00547B5C" w:rsidRPr="003754C6" w14:paraId="353B515A" w14:textId="77777777" w:rsidTr="000E38C4">
        <w:tc>
          <w:tcPr>
            <w:tcW w:w="0" w:type="auto"/>
            <w:shd w:val="clear" w:color="000000" w:fill="E6E6E6"/>
            <w:vAlign w:val="center"/>
            <w:hideMark/>
          </w:tcPr>
          <w:p w14:paraId="4B25097D" w14:textId="77777777" w:rsidR="003754C6" w:rsidRPr="00686F1F" w:rsidRDefault="003754C6" w:rsidP="003754C6">
            <w:pPr>
              <w:spacing w:after="0" w:line="240" w:lineRule="auto"/>
              <w:rPr>
                <w:rFonts w:ascii="Times New Roman" w:eastAsia="Times New Roman" w:hAnsi="Times New Roman" w:cs="Times New Roman"/>
                <w:b/>
                <w:bCs/>
                <w:color w:val="000000"/>
                <w:sz w:val="24"/>
                <w:szCs w:val="24"/>
                <w:lang w:eastAsia="bg-BG"/>
              </w:rPr>
            </w:pPr>
            <w:r w:rsidRPr="00686F1F">
              <w:rPr>
                <w:rFonts w:ascii="Times New Roman" w:eastAsia="Times New Roman" w:hAnsi="Times New Roman" w:cs="Times New Roman"/>
                <w:b/>
                <w:bCs/>
                <w:color w:val="000000"/>
                <w:sz w:val="24"/>
                <w:szCs w:val="24"/>
                <w:lang w:eastAsia="bg-BG"/>
              </w:rPr>
              <w:t>Търговия със селскостопански продукт</w:t>
            </w:r>
          </w:p>
        </w:tc>
        <w:tc>
          <w:tcPr>
            <w:tcW w:w="0" w:type="auto"/>
            <w:shd w:val="clear" w:color="000000" w:fill="F3F3F3"/>
            <w:vAlign w:val="center"/>
            <w:hideMark/>
          </w:tcPr>
          <w:p w14:paraId="66E9DFCB" w14:textId="77777777" w:rsidR="003754C6" w:rsidRPr="003754C6" w:rsidRDefault="003754C6" w:rsidP="003754C6">
            <w:pPr>
              <w:spacing w:after="0" w:line="240" w:lineRule="auto"/>
              <w:jc w:val="both"/>
              <w:rPr>
                <w:rFonts w:ascii="Times New Roman" w:eastAsia="Times New Roman" w:hAnsi="Times New Roman" w:cs="Times New Roman"/>
                <w:color w:val="000000"/>
                <w:sz w:val="24"/>
                <w:szCs w:val="24"/>
                <w:lang w:eastAsia="bg-BG"/>
              </w:rPr>
            </w:pPr>
            <w:r w:rsidRPr="00686F1F">
              <w:rPr>
                <w:rFonts w:ascii="Times New Roman" w:eastAsia="Times New Roman" w:hAnsi="Times New Roman" w:cs="Times New Roman"/>
                <w:color w:val="000000"/>
                <w:sz w:val="24"/>
                <w:szCs w:val="24"/>
                <w:lang w:eastAsia="bg-BG"/>
              </w:rPr>
              <w:t>Държане или излагане с цел продажба, предлагане за продажба, доставяне или пускане на пазара по друг начин, с изключение на първата продажба от първичния производител на прекупвачи или преработватели, както и всяка една дейност по подготвяне на продукта за тази първа продажба; продажбата от първичен производител на крайни потребители се счита за търговия, ако се осъществява в отделни помещения, предвидени за тази цел.</w:t>
            </w:r>
          </w:p>
        </w:tc>
      </w:tr>
    </w:tbl>
    <w:p w14:paraId="67325119" w14:textId="77777777" w:rsidR="000C2624" w:rsidRPr="0015065C" w:rsidRDefault="000C2624" w:rsidP="003B005E">
      <w:pPr>
        <w:rPr>
          <w:rFonts w:ascii="Times New Roman" w:hAnsi="Times New Roman" w:cs="Times New Roman"/>
          <w:sz w:val="24"/>
          <w:szCs w:val="24"/>
        </w:rPr>
      </w:pPr>
    </w:p>
    <w:sectPr w:rsidR="000C2624" w:rsidRPr="0015065C" w:rsidSect="00A80B44">
      <w:headerReference w:type="default" r:id="rId8"/>
      <w:footerReference w:type="default" r:id="rId9"/>
      <w:pgSz w:w="11906" w:h="16838"/>
      <w:pgMar w:top="1417" w:right="1417" w:bottom="1276" w:left="1417" w:header="708" w:footer="28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EE3217" w14:textId="77777777" w:rsidR="008C3141" w:rsidRDefault="008C3141" w:rsidP="00364204">
      <w:pPr>
        <w:spacing w:after="0" w:line="240" w:lineRule="auto"/>
      </w:pPr>
      <w:r>
        <w:separator/>
      </w:r>
    </w:p>
  </w:endnote>
  <w:endnote w:type="continuationSeparator" w:id="0">
    <w:p w14:paraId="6917E647" w14:textId="77777777" w:rsidR="008C3141" w:rsidRDefault="008C3141" w:rsidP="00364204">
      <w:pPr>
        <w:spacing w:after="0" w:line="240" w:lineRule="auto"/>
      </w:pPr>
      <w:r>
        <w:continuationSeparator/>
      </w:r>
    </w:p>
  </w:endnote>
  <w:endnote w:type="continuationNotice" w:id="1">
    <w:p w14:paraId="33796441" w14:textId="77777777" w:rsidR="008C3141" w:rsidRDefault="008C314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7406275"/>
      <w:docPartObj>
        <w:docPartGallery w:val="Page Numbers (Bottom of Page)"/>
        <w:docPartUnique/>
      </w:docPartObj>
    </w:sdtPr>
    <w:sdtEndPr>
      <w:rPr>
        <w:noProof/>
      </w:rPr>
    </w:sdtEndPr>
    <w:sdtContent>
      <w:p w14:paraId="68DE647B" w14:textId="123756D9" w:rsidR="00054EAC" w:rsidRDefault="00054EAC">
        <w:pPr>
          <w:pStyle w:val="Footer"/>
          <w:jc w:val="center"/>
        </w:pPr>
        <w:r>
          <w:fldChar w:fldCharType="begin"/>
        </w:r>
        <w:r>
          <w:instrText xml:space="preserve"> PAGE   \* MERGEFORMAT </w:instrText>
        </w:r>
        <w:r>
          <w:fldChar w:fldCharType="separate"/>
        </w:r>
        <w:r w:rsidR="006A4CBE">
          <w:rPr>
            <w:noProof/>
          </w:rPr>
          <w:t>11</w:t>
        </w:r>
        <w:r>
          <w:rPr>
            <w:noProof/>
          </w:rPr>
          <w:fldChar w:fldCharType="end"/>
        </w:r>
      </w:p>
    </w:sdtContent>
  </w:sdt>
  <w:p w14:paraId="0ECA5A37" w14:textId="7BDD038E" w:rsidR="008F4E02" w:rsidRDefault="008F4E0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1D3167" w14:textId="77777777" w:rsidR="008C3141" w:rsidRDefault="008C3141" w:rsidP="00364204">
      <w:pPr>
        <w:spacing w:after="0" w:line="240" w:lineRule="auto"/>
      </w:pPr>
      <w:r>
        <w:separator/>
      </w:r>
    </w:p>
  </w:footnote>
  <w:footnote w:type="continuationSeparator" w:id="0">
    <w:p w14:paraId="778AF0CD" w14:textId="77777777" w:rsidR="008C3141" w:rsidRDefault="008C3141" w:rsidP="00364204">
      <w:pPr>
        <w:spacing w:after="0" w:line="240" w:lineRule="auto"/>
      </w:pPr>
      <w:r>
        <w:continuationSeparator/>
      </w:r>
    </w:p>
  </w:footnote>
  <w:footnote w:type="continuationNotice" w:id="1">
    <w:p w14:paraId="74771F6C" w14:textId="77777777" w:rsidR="008C3141" w:rsidRDefault="008C3141">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insideH w:val="single" w:sz="4" w:space="0" w:color="auto"/>
      </w:tblBorders>
      <w:tblLook w:val="04A0" w:firstRow="1" w:lastRow="0" w:firstColumn="1" w:lastColumn="0" w:noHBand="0" w:noVBand="1"/>
    </w:tblPr>
    <w:tblGrid>
      <w:gridCol w:w="4224"/>
      <w:gridCol w:w="2424"/>
      <w:gridCol w:w="2424"/>
    </w:tblGrid>
    <w:tr w:rsidR="005D5C12" w:rsidRPr="00AF1339" w14:paraId="009708A5" w14:textId="77777777" w:rsidTr="00D25062">
      <w:tc>
        <w:tcPr>
          <w:tcW w:w="4722" w:type="dxa"/>
          <w:shd w:val="clear" w:color="auto" w:fill="auto"/>
        </w:tcPr>
        <w:p w14:paraId="51AD7E39" w14:textId="3958CD34" w:rsidR="005D5C12" w:rsidRPr="00D25062" w:rsidRDefault="007E211A" w:rsidP="00D25062">
          <w:pPr>
            <w:pStyle w:val="Header"/>
          </w:pPr>
          <w:r w:rsidRPr="00103B9D">
            <w:rPr>
              <w:i/>
              <w:noProof/>
              <w:lang w:val="en-US"/>
            </w:rPr>
            <w:drawing>
              <wp:inline distT="0" distB="0" distL="0" distR="0" wp14:anchorId="1B17446D" wp14:editId="66A8D1FA">
                <wp:extent cx="2226310" cy="516890"/>
                <wp:effectExtent l="0" t="0" r="254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26310" cy="516890"/>
                        </a:xfrm>
                        <a:prstGeom prst="rect">
                          <a:avLst/>
                        </a:prstGeom>
                        <a:noFill/>
                        <a:ln>
                          <a:noFill/>
                        </a:ln>
                      </pic:spPr>
                    </pic:pic>
                  </a:graphicData>
                </a:graphic>
              </wp:inline>
            </w:drawing>
          </w:r>
        </w:p>
      </w:tc>
      <w:tc>
        <w:tcPr>
          <w:tcW w:w="4633" w:type="dxa"/>
          <w:shd w:val="clear" w:color="auto" w:fill="auto"/>
        </w:tcPr>
        <w:p w14:paraId="07D02D66" w14:textId="77777777" w:rsidR="005D5C12" w:rsidRPr="00D25062" w:rsidRDefault="005D5C12" w:rsidP="00D25062">
          <w:pPr>
            <w:pStyle w:val="Header"/>
            <w:jc w:val="right"/>
          </w:pPr>
        </w:p>
      </w:tc>
      <w:tc>
        <w:tcPr>
          <w:tcW w:w="4633" w:type="dxa"/>
          <w:shd w:val="clear" w:color="auto" w:fill="auto"/>
        </w:tcPr>
        <w:p w14:paraId="586A499E" w14:textId="77777777" w:rsidR="005D5C12" w:rsidRPr="00AF1339" w:rsidRDefault="005D5C12" w:rsidP="00F14642">
          <w:pPr>
            <w:spacing w:after="160" w:line="259" w:lineRule="auto"/>
            <w:jc w:val="center"/>
            <w:rPr>
              <w:rFonts w:ascii="Calibri" w:eastAsia="Calibri" w:hAnsi="Calibri" w:cs="Times New Roman"/>
            </w:rPr>
          </w:pPr>
        </w:p>
      </w:tc>
    </w:tr>
  </w:tbl>
  <w:p w14:paraId="22D26F4A" w14:textId="0EBDD04C" w:rsidR="007E211A" w:rsidRPr="00B90A42" w:rsidRDefault="007E211A" w:rsidP="007E211A">
    <w:pPr>
      <w:pStyle w:val="Header"/>
    </w:pPr>
    <w:r>
      <w:rPr>
        <w:noProof/>
        <w:lang w:val="en-US"/>
      </w:rPr>
      <w:drawing>
        <wp:anchor distT="0" distB="0" distL="114300" distR="114300" simplePos="0" relativeHeight="251657216" behindDoc="0" locked="0" layoutInCell="1" allowOverlap="1" wp14:anchorId="0154082A" wp14:editId="0FC9DEA5">
          <wp:simplePos x="0" y="0"/>
          <wp:positionH relativeFrom="margin">
            <wp:align>right</wp:align>
          </wp:positionH>
          <wp:positionV relativeFrom="paragraph">
            <wp:posOffset>-567055</wp:posOffset>
          </wp:positionV>
          <wp:extent cx="2307590" cy="651510"/>
          <wp:effectExtent l="0" t="0" r="0" b="0"/>
          <wp:wrapNone/>
          <wp:docPr id="20" name="Picture 20"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07590" cy="6515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D17B3C3" w14:textId="77777777" w:rsidR="005D5C12" w:rsidRDefault="005D5C1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6E2928"/>
    <w:multiLevelType w:val="multilevel"/>
    <w:tmpl w:val="2DA6A6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1">
      <w:start w:val="19"/>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2">
      <w:start w:val="1"/>
      <w:numFmt w:val="lowerRoman"/>
      <w:lvlText w:val="%3)"/>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3">
      <w:start w:val="1"/>
      <w:numFmt w:val="lowerRoman"/>
      <w:lvlText w:val="%4)"/>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4">
      <w:start w:val="1"/>
      <w:numFmt w:val="lowerRoman"/>
      <w:lvlText w:val="%5)"/>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5">
      <w:start w:val="2"/>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14"/>
        <w:szCs w:val="14"/>
        <w:u w:val="none"/>
        <w:lang w:val="bg"/>
      </w:rPr>
    </w:lvl>
    <w:lvl w:ilvl="6">
      <w:start w:val="134"/>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lvl w:ilvl="7">
      <w:start w:val="1"/>
      <w:numFmt w:val="lowerRoman"/>
      <w:lvlText w:val="%8)"/>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en-US"/>
      </w:rPr>
    </w:lvl>
    <w:lvl w:ilvl="8">
      <w:start w:val="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bg"/>
      </w:rPr>
    </w:lvl>
  </w:abstractNum>
  <w:abstractNum w:abstractNumId="1" w15:restartNumberingAfterBreak="0">
    <w:nsid w:val="26A00985"/>
    <w:multiLevelType w:val="hybridMultilevel"/>
    <w:tmpl w:val="910CDC5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2AB8221E"/>
    <w:multiLevelType w:val="hybridMultilevel"/>
    <w:tmpl w:val="F5F67F34"/>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4C6626AA"/>
    <w:multiLevelType w:val="hybridMultilevel"/>
    <w:tmpl w:val="9F00509A"/>
    <w:lvl w:ilvl="0" w:tplc="05B430AC">
      <w:numFmt w:val="bullet"/>
      <w:lvlText w:val="-"/>
      <w:lvlJc w:val="left"/>
      <w:pPr>
        <w:ind w:left="720" w:hanging="360"/>
      </w:pPr>
      <w:rPr>
        <w:rFonts w:ascii="Calibri" w:eastAsia="Times New Roman"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22305E8"/>
    <w:multiLevelType w:val="multilevel"/>
    <w:tmpl w:val="722305E8"/>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oNotTrackFormatting/>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144B"/>
    <w:rsid w:val="00000642"/>
    <w:rsid w:val="00000E49"/>
    <w:rsid w:val="000010DD"/>
    <w:rsid w:val="0000113E"/>
    <w:rsid w:val="0000173C"/>
    <w:rsid w:val="00002456"/>
    <w:rsid w:val="00002D0D"/>
    <w:rsid w:val="0000386A"/>
    <w:rsid w:val="00003B43"/>
    <w:rsid w:val="000046D3"/>
    <w:rsid w:val="00012502"/>
    <w:rsid w:val="00013B0F"/>
    <w:rsid w:val="0001482C"/>
    <w:rsid w:val="00015702"/>
    <w:rsid w:val="00016837"/>
    <w:rsid w:val="000169CC"/>
    <w:rsid w:val="00016E0B"/>
    <w:rsid w:val="00020868"/>
    <w:rsid w:val="00020E0B"/>
    <w:rsid w:val="00021DCF"/>
    <w:rsid w:val="00023FFA"/>
    <w:rsid w:val="0003082D"/>
    <w:rsid w:val="000315B5"/>
    <w:rsid w:val="00034209"/>
    <w:rsid w:val="0003699C"/>
    <w:rsid w:val="0004005C"/>
    <w:rsid w:val="00044D0F"/>
    <w:rsid w:val="00045584"/>
    <w:rsid w:val="000522DF"/>
    <w:rsid w:val="00054EAC"/>
    <w:rsid w:val="000568E4"/>
    <w:rsid w:val="00062143"/>
    <w:rsid w:val="000636EF"/>
    <w:rsid w:val="00067C3A"/>
    <w:rsid w:val="00070B42"/>
    <w:rsid w:val="00070E3F"/>
    <w:rsid w:val="00071FD5"/>
    <w:rsid w:val="00075C6A"/>
    <w:rsid w:val="00082A66"/>
    <w:rsid w:val="00085F51"/>
    <w:rsid w:val="000972C6"/>
    <w:rsid w:val="000A0132"/>
    <w:rsid w:val="000A1114"/>
    <w:rsid w:val="000A3471"/>
    <w:rsid w:val="000A44E5"/>
    <w:rsid w:val="000A4E76"/>
    <w:rsid w:val="000B38AD"/>
    <w:rsid w:val="000B4A2D"/>
    <w:rsid w:val="000B6360"/>
    <w:rsid w:val="000B7320"/>
    <w:rsid w:val="000C2624"/>
    <w:rsid w:val="000C2A46"/>
    <w:rsid w:val="000C6413"/>
    <w:rsid w:val="000C731A"/>
    <w:rsid w:val="000C7701"/>
    <w:rsid w:val="000D040C"/>
    <w:rsid w:val="000D418B"/>
    <w:rsid w:val="000D7F0D"/>
    <w:rsid w:val="000E38C4"/>
    <w:rsid w:val="000E43C4"/>
    <w:rsid w:val="000E4FFF"/>
    <w:rsid w:val="000E58F1"/>
    <w:rsid w:val="000F47BE"/>
    <w:rsid w:val="000F48C5"/>
    <w:rsid w:val="000F520A"/>
    <w:rsid w:val="000F5A47"/>
    <w:rsid w:val="00105220"/>
    <w:rsid w:val="0011077A"/>
    <w:rsid w:val="001123F2"/>
    <w:rsid w:val="00112DD2"/>
    <w:rsid w:val="001149E0"/>
    <w:rsid w:val="001172F3"/>
    <w:rsid w:val="00121FFF"/>
    <w:rsid w:val="00122E31"/>
    <w:rsid w:val="0012614C"/>
    <w:rsid w:val="00132EA0"/>
    <w:rsid w:val="00133436"/>
    <w:rsid w:val="00135888"/>
    <w:rsid w:val="00135C9D"/>
    <w:rsid w:val="001375DA"/>
    <w:rsid w:val="0014131C"/>
    <w:rsid w:val="00141474"/>
    <w:rsid w:val="00146219"/>
    <w:rsid w:val="00146A12"/>
    <w:rsid w:val="001472E2"/>
    <w:rsid w:val="00147A80"/>
    <w:rsid w:val="001503F3"/>
    <w:rsid w:val="001505AE"/>
    <w:rsid w:val="0015065C"/>
    <w:rsid w:val="00151004"/>
    <w:rsid w:val="0015185C"/>
    <w:rsid w:val="00151B68"/>
    <w:rsid w:val="001553A6"/>
    <w:rsid w:val="001566B9"/>
    <w:rsid w:val="00156B42"/>
    <w:rsid w:val="00160AEC"/>
    <w:rsid w:val="0016138B"/>
    <w:rsid w:val="00163752"/>
    <w:rsid w:val="001637DA"/>
    <w:rsid w:val="00166B6A"/>
    <w:rsid w:val="001675DC"/>
    <w:rsid w:val="00170FDB"/>
    <w:rsid w:val="00176AD2"/>
    <w:rsid w:val="00177A75"/>
    <w:rsid w:val="00177AF4"/>
    <w:rsid w:val="001814C4"/>
    <w:rsid w:val="001826B1"/>
    <w:rsid w:val="00190190"/>
    <w:rsid w:val="0019069B"/>
    <w:rsid w:val="00194C58"/>
    <w:rsid w:val="00196D20"/>
    <w:rsid w:val="001A2451"/>
    <w:rsid w:val="001A4EAB"/>
    <w:rsid w:val="001A6C43"/>
    <w:rsid w:val="001B133A"/>
    <w:rsid w:val="001B13CE"/>
    <w:rsid w:val="001B21F3"/>
    <w:rsid w:val="001B3181"/>
    <w:rsid w:val="001B57E3"/>
    <w:rsid w:val="001B61A7"/>
    <w:rsid w:val="001B6CC2"/>
    <w:rsid w:val="001C2977"/>
    <w:rsid w:val="001C2D21"/>
    <w:rsid w:val="001C5F9E"/>
    <w:rsid w:val="001D40C6"/>
    <w:rsid w:val="001D505E"/>
    <w:rsid w:val="001D6D99"/>
    <w:rsid w:val="001E1871"/>
    <w:rsid w:val="001E2927"/>
    <w:rsid w:val="001F0E0A"/>
    <w:rsid w:val="001F54E6"/>
    <w:rsid w:val="001F61B8"/>
    <w:rsid w:val="00203940"/>
    <w:rsid w:val="002068A7"/>
    <w:rsid w:val="00207A2E"/>
    <w:rsid w:val="002101D1"/>
    <w:rsid w:val="00210837"/>
    <w:rsid w:val="0021679D"/>
    <w:rsid w:val="0021691B"/>
    <w:rsid w:val="00226AD4"/>
    <w:rsid w:val="00235A35"/>
    <w:rsid w:val="002407B4"/>
    <w:rsid w:val="0024350C"/>
    <w:rsid w:val="0024419F"/>
    <w:rsid w:val="00244EF0"/>
    <w:rsid w:val="002465E6"/>
    <w:rsid w:val="00255E88"/>
    <w:rsid w:val="00262C14"/>
    <w:rsid w:val="002660A1"/>
    <w:rsid w:val="00270FA9"/>
    <w:rsid w:val="00275A2F"/>
    <w:rsid w:val="002779FF"/>
    <w:rsid w:val="0028583C"/>
    <w:rsid w:val="002938F6"/>
    <w:rsid w:val="00294A6E"/>
    <w:rsid w:val="002A0B0D"/>
    <w:rsid w:val="002A3CEF"/>
    <w:rsid w:val="002A4747"/>
    <w:rsid w:val="002A512B"/>
    <w:rsid w:val="002A570D"/>
    <w:rsid w:val="002A6026"/>
    <w:rsid w:val="002A6221"/>
    <w:rsid w:val="002B03EC"/>
    <w:rsid w:val="002B0905"/>
    <w:rsid w:val="002B20F2"/>
    <w:rsid w:val="002B3048"/>
    <w:rsid w:val="002B31B0"/>
    <w:rsid w:val="002B3E57"/>
    <w:rsid w:val="002C72C6"/>
    <w:rsid w:val="002D0B4D"/>
    <w:rsid w:val="002D20A8"/>
    <w:rsid w:val="002D39FC"/>
    <w:rsid w:val="002D65D2"/>
    <w:rsid w:val="002E23A3"/>
    <w:rsid w:val="002E6F1D"/>
    <w:rsid w:val="002F3AF3"/>
    <w:rsid w:val="002F59B2"/>
    <w:rsid w:val="00301649"/>
    <w:rsid w:val="0030180E"/>
    <w:rsid w:val="00305BE5"/>
    <w:rsid w:val="00306628"/>
    <w:rsid w:val="00311B06"/>
    <w:rsid w:val="00311D57"/>
    <w:rsid w:val="00315E8A"/>
    <w:rsid w:val="0031775D"/>
    <w:rsid w:val="003204C2"/>
    <w:rsid w:val="003206A1"/>
    <w:rsid w:val="00322E2E"/>
    <w:rsid w:val="003234D8"/>
    <w:rsid w:val="00323B4A"/>
    <w:rsid w:val="00323E63"/>
    <w:rsid w:val="0032781F"/>
    <w:rsid w:val="00333512"/>
    <w:rsid w:val="003339E9"/>
    <w:rsid w:val="00342683"/>
    <w:rsid w:val="00350080"/>
    <w:rsid w:val="0035013B"/>
    <w:rsid w:val="0035095C"/>
    <w:rsid w:val="00350A75"/>
    <w:rsid w:val="0035527E"/>
    <w:rsid w:val="00357D8C"/>
    <w:rsid w:val="003601E3"/>
    <w:rsid w:val="00363FB2"/>
    <w:rsid w:val="00364204"/>
    <w:rsid w:val="00364C8A"/>
    <w:rsid w:val="00372A83"/>
    <w:rsid w:val="0037433C"/>
    <w:rsid w:val="003754C6"/>
    <w:rsid w:val="003774E1"/>
    <w:rsid w:val="00377AF7"/>
    <w:rsid w:val="0038024A"/>
    <w:rsid w:val="00380C77"/>
    <w:rsid w:val="003875EB"/>
    <w:rsid w:val="003913AA"/>
    <w:rsid w:val="00392471"/>
    <w:rsid w:val="00392A15"/>
    <w:rsid w:val="0039519A"/>
    <w:rsid w:val="003B005E"/>
    <w:rsid w:val="003B141D"/>
    <w:rsid w:val="003C0135"/>
    <w:rsid w:val="003C0505"/>
    <w:rsid w:val="003C0A9A"/>
    <w:rsid w:val="003C0F45"/>
    <w:rsid w:val="003C29ED"/>
    <w:rsid w:val="003C370C"/>
    <w:rsid w:val="003D1460"/>
    <w:rsid w:val="003D47EC"/>
    <w:rsid w:val="003D5F84"/>
    <w:rsid w:val="003E2225"/>
    <w:rsid w:val="003E7DFA"/>
    <w:rsid w:val="003F31D2"/>
    <w:rsid w:val="003F42BA"/>
    <w:rsid w:val="003F63FF"/>
    <w:rsid w:val="003F74C3"/>
    <w:rsid w:val="00403D6C"/>
    <w:rsid w:val="00413F4A"/>
    <w:rsid w:val="0041624B"/>
    <w:rsid w:val="00424C2D"/>
    <w:rsid w:val="00425D7E"/>
    <w:rsid w:val="00427A57"/>
    <w:rsid w:val="00434D2A"/>
    <w:rsid w:val="004376E5"/>
    <w:rsid w:val="00443FF4"/>
    <w:rsid w:val="00444395"/>
    <w:rsid w:val="00450719"/>
    <w:rsid w:val="00453858"/>
    <w:rsid w:val="00457584"/>
    <w:rsid w:val="00461398"/>
    <w:rsid w:val="00467B0D"/>
    <w:rsid w:val="004711FB"/>
    <w:rsid w:val="00477A53"/>
    <w:rsid w:val="00477F5F"/>
    <w:rsid w:val="004802B5"/>
    <w:rsid w:val="004811EE"/>
    <w:rsid w:val="0048153E"/>
    <w:rsid w:val="00482E5A"/>
    <w:rsid w:val="004843EE"/>
    <w:rsid w:val="0048471A"/>
    <w:rsid w:val="00486046"/>
    <w:rsid w:val="00487B87"/>
    <w:rsid w:val="0049425D"/>
    <w:rsid w:val="00494CB1"/>
    <w:rsid w:val="004A15B3"/>
    <w:rsid w:val="004A1FA5"/>
    <w:rsid w:val="004A2098"/>
    <w:rsid w:val="004B177E"/>
    <w:rsid w:val="004B3485"/>
    <w:rsid w:val="004B5955"/>
    <w:rsid w:val="004B677A"/>
    <w:rsid w:val="004B67B5"/>
    <w:rsid w:val="004C5E06"/>
    <w:rsid w:val="004C6D46"/>
    <w:rsid w:val="004D1D4E"/>
    <w:rsid w:val="004D5241"/>
    <w:rsid w:val="004D59DD"/>
    <w:rsid w:val="004D6CE7"/>
    <w:rsid w:val="004E0B74"/>
    <w:rsid w:val="004E15B4"/>
    <w:rsid w:val="004E6D9F"/>
    <w:rsid w:val="00502F9C"/>
    <w:rsid w:val="00506983"/>
    <w:rsid w:val="00507AB6"/>
    <w:rsid w:val="005155E4"/>
    <w:rsid w:val="00521819"/>
    <w:rsid w:val="00522DB7"/>
    <w:rsid w:val="00527C13"/>
    <w:rsid w:val="00533EFA"/>
    <w:rsid w:val="005346FD"/>
    <w:rsid w:val="00544385"/>
    <w:rsid w:val="005458FC"/>
    <w:rsid w:val="00547B5C"/>
    <w:rsid w:val="005515EC"/>
    <w:rsid w:val="00551D22"/>
    <w:rsid w:val="0055393D"/>
    <w:rsid w:val="00562463"/>
    <w:rsid w:val="00562CDD"/>
    <w:rsid w:val="0057352F"/>
    <w:rsid w:val="0058554A"/>
    <w:rsid w:val="00590097"/>
    <w:rsid w:val="00591170"/>
    <w:rsid w:val="0059354F"/>
    <w:rsid w:val="00594DF4"/>
    <w:rsid w:val="00597183"/>
    <w:rsid w:val="005A3322"/>
    <w:rsid w:val="005B109C"/>
    <w:rsid w:val="005B1470"/>
    <w:rsid w:val="005B33FE"/>
    <w:rsid w:val="005B66E8"/>
    <w:rsid w:val="005B7691"/>
    <w:rsid w:val="005C3A6A"/>
    <w:rsid w:val="005C7631"/>
    <w:rsid w:val="005D31D2"/>
    <w:rsid w:val="005D5C12"/>
    <w:rsid w:val="005D5D2C"/>
    <w:rsid w:val="005D7AC0"/>
    <w:rsid w:val="005D7DBC"/>
    <w:rsid w:val="005E04B9"/>
    <w:rsid w:val="005E0513"/>
    <w:rsid w:val="005E3ADC"/>
    <w:rsid w:val="005F3542"/>
    <w:rsid w:val="005F4EF6"/>
    <w:rsid w:val="005F5A43"/>
    <w:rsid w:val="005F7830"/>
    <w:rsid w:val="00602659"/>
    <w:rsid w:val="00606B1B"/>
    <w:rsid w:val="006235CE"/>
    <w:rsid w:val="00624B99"/>
    <w:rsid w:val="0062729B"/>
    <w:rsid w:val="00630908"/>
    <w:rsid w:val="00636410"/>
    <w:rsid w:val="00642ED2"/>
    <w:rsid w:val="00647A60"/>
    <w:rsid w:val="00650331"/>
    <w:rsid w:val="00655140"/>
    <w:rsid w:val="00655AB9"/>
    <w:rsid w:val="00655CC9"/>
    <w:rsid w:val="00666480"/>
    <w:rsid w:val="00666644"/>
    <w:rsid w:val="006667AD"/>
    <w:rsid w:val="006675E7"/>
    <w:rsid w:val="00677E30"/>
    <w:rsid w:val="0068167D"/>
    <w:rsid w:val="00686332"/>
    <w:rsid w:val="00686CF2"/>
    <w:rsid w:val="00686F1F"/>
    <w:rsid w:val="00690B04"/>
    <w:rsid w:val="00692AAC"/>
    <w:rsid w:val="006932EA"/>
    <w:rsid w:val="006A4CBE"/>
    <w:rsid w:val="006A66DF"/>
    <w:rsid w:val="006B35B9"/>
    <w:rsid w:val="006B3EF3"/>
    <w:rsid w:val="006B6888"/>
    <w:rsid w:val="006C0465"/>
    <w:rsid w:val="006C7B36"/>
    <w:rsid w:val="006D0801"/>
    <w:rsid w:val="006D243B"/>
    <w:rsid w:val="006D2D81"/>
    <w:rsid w:val="006D5204"/>
    <w:rsid w:val="006D56CD"/>
    <w:rsid w:val="006E0105"/>
    <w:rsid w:val="006E266D"/>
    <w:rsid w:val="006E3606"/>
    <w:rsid w:val="006E41F9"/>
    <w:rsid w:val="006E55B8"/>
    <w:rsid w:val="006E74DD"/>
    <w:rsid w:val="006F5552"/>
    <w:rsid w:val="007110EB"/>
    <w:rsid w:val="0071256E"/>
    <w:rsid w:val="007228E6"/>
    <w:rsid w:val="0072643D"/>
    <w:rsid w:val="007268F0"/>
    <w:rsid w:val="00730A91"/>
    <w:rsid w:val="00734B42"/>
    <w:rsid w:val="007419E1"/>
    <w:rsid w:val="00741F45"/>
    <w:rsid w:val="007433EA"/>
    <w:rsid w:val="0074385D"/>
    <w:rsid w:val="0074665C"/>
    <w:rsid w:val="00750D4C"/>
    <w:rsid w:val="00756B45"/>
    <w:rsid w:val="00761D80"/>
    <w:rsid w:val="00764CC7"/>
    <w:rsid w:val="0076760F"/>
    <w:rsid w:val="00767968"/>
    <w:rsid w:val="00767F30"/>
    <w:rsid w:val="007708C4"/>
    <w:rsid w:val="00775161"/>
    <w:rsid w:val="007759E7"/>
    <w:rsid w:val="0078029D"/>
    <w:rsid w:val="00781585"/>
    <w:rsid w:val="00781638"/>
    <w:rsid w:val="007830DC"/>
    <w:rsid w:val="00784610"/>
    <w:rsid w:val="00785637"/>
    <w:rsid w:val="00791007"/>
    <w:rsid w:val="00792531"/>
    <w:rsid w:val="0079544B"/>
    <w:rsid w:val="007A349E"/>
    <w:rsid w:val="007A6782"/>
    <w:rsid w:val="007B2C0A"/>
    <w:rsid w:val="007B5FF0"/>
    <w:rsid w:val="007B60CB"/>
    <w:rsid w:val="007D00F2"/>
    <w:rsid w:val="007E18D5"/>
    <w:rsid w:val="007E211A"/>
    <w:rsid w:val="007E2301"/>
    <w:rsid w:val="007E4C7D"/>
    <w:rsid w:val="007F047F"/>
    <w:rsid w:val="007F2CA8"/>
    <w:rsid w:val="007F4874"/>
    <w:rsid w:val="007F4E6D"/>
    <w:rsid w:val="007F6ED0"/>
    <w:rsid w:val="007F75CF"/>
    <w:rsid w:val="00800A99"/>
    <w:rsid w:val="00804F54"/>
    <w:rsid w:val="00805079"/>
    <w:rsid w:val="0080517F"/>
    <w:rsid w:val="00811FBA"/>
    <w:rsid w:val="00812268"/>
    <w:rsid w:val="00812B62"/>
    <w:rsid w:val="00821649"/>
    <w:rsid w:val="0082616B"/>
    <w:rsid w:val="00830873"/>
    <w:rsid w:val="00830AC9"/>
    <w:rsid w:val="00830B4E"/>
    <w:rsid w:val="00831362"/>
    <w:rsid w:val="00835439"/>
    <w:rsid w:val="008423D6"/>
    <w:rsid w:val="00844602"/>
    <w:rsid w:val="00844A97"/>
    <w:rsid w:val="008541FA"/>
    <w:rsid w:val="00857CD1"/>
    <w:rsid w:val="00862EEE"/>
    <w:rsid w:val="0086716B"/>
    <w:rsid w:val="00870D1D"/>
    <w:rsid w:val="00875315"/>
    <w:rsid w:val="00876B7B"/>
    <w:rsid w:val="00877B66"/>
    <w:rsid w:val="00880021"/>
    <w:rsid w:val="00884591"/>
    <w:rsid w:val="00893228"/>
    <w:rsid w:val="00894459"/>
    <w:rsid w:val="008A3B65"/>
    <w:rsid w:val="008A4FAB"/>
    <w:rsid w:val="008A7455"/>
    <w:rsid w:val="008B34EF"/>
    <w:rsid w:val="008B4517"/>
    <w:rsid w:val="008B59D6"/>
    <w:rsid w:val="008C0322"/>
    <w:rsid w:val="008C23C0"/>
    <w:rsid w:val="008C25FB"/>
    <w:rsid w:val="008C3141"/>
    <w:rsid w:val="008C5169"/>
    <w:rsid w:val="008D22C2"/>
    <w:rsid w:val="008D51DE"/>
    <w:rsid w:val="008D7797"/>
    <w:rsid w:val="008E2E2B"/>
    <w:rsid w:val="008E2FA2"/>
    <w:rsid w:val="008E4C68"/>
    <w:rsid w:val="008E4D35"/>
    <w:rsid w:val="008E72B2"/>
    <w:rsid w:val="008F1F1D"/>
    <w:rsid w:val="008F29AD"/>
    <w:rsid w:val="008F2DBC"/>
    <w:rsid w:val="008F4E02"/>
    <w:rsid w:val="00901DB9"/>
    <w:rsid w:val="00907DA1"/>
    <w:rsid w:val="0091098E"/>
    <w:rsid w:val="00911F09"/>
    <w:rsid w:val="00915527"/>
    <w:rsid w:val="0091574F"/>
    <w:rsid w:val="009200B0"/>
    <w:rsid w:val="00920C83"/>
    <w:rsid w:val="009228BD"/>
    <w:rsid w:val="00922D50"/>
    <w:rsid w:val="00924D9B"/>
    <w:rsid w:val="0093063E"/>
    <w:rsid w:val="00932B9B"/>
    <w:rsid w:val="00934B28"/>
    <w:rsid w:val="009350D8"/>
    <w:rsid w:val="00935650"/>
    <w:rsid w:val="00936946"/>
    <w:rsid w:val="00950DAB"/>
    <w:rsid w:val="00952826"/>
    <w:rsid w:val="0095447F"/>
    <w:rsid w:val="00955AEC"/>
    <w:rsid w:val="00956E94"/>
    <w:rsid w:val="009578F7"/>
    <w:rsid w:val="00960116"/>
    <w:rsid w:val="00963992"/>
    <w:rsid w:val="00975A4D"/>
    <w:rsid w:val="0099371B"/>
    <w:rsid w:val="009944A0"/>
    <w:rsid w:val="00995611"/>
    <w:rsid w:val="009972D5"/>
    <w:rsid w:val="00997825"/>
    <w:rsid w:val="009A2721"/>
    <w:rsid w:val="009B0FAC"/>
    <w:rsid w:val="009B112E"/>
    <w:rsid w:val="009C6305"/>
    <w:rsid w:val="009D0973"/>
    <w:rsid w:val="009D265E"/>
    <w:rsid w:val="009D632B"/>
    <w:rsid w:val="009E375A"/>
    <w:rsid w:val="009F3B82"/>
    <w:rsid w:val="009F5922"/>
    <w:rsid w:val="009F6C1F"/>
    <w:rsid w:val="009F7BB2"/>
    <w:rsid w:val="00A00754"/>
    <w:rsid w:val="00A00C47"/>
    <w:rsid w:val="00A00FBE"/>
    <w:rsid w:val="00A027C5"/>
    <w:rsid w:val="00A0285B"/>
    <w:rsid w:val="00A07D6D"/>
    <w:rsid w:val="00A14845"/>
    <w:rsid w:val="00A16BE2"/>
    <w:rsid w:val="00A1789B"/>
    <w:rsid w:val="00A24C36"/>
    <w:rsid w:val="00A26995"/>
    <w:rsid w:val="00A3057D"/>
    <w:rsid w:val="00A32D97"/>
    <w:rsid w:val="00A33C33"/>
    <w:rsid w:val="00A455D5"/>
    <w:rsid w:val="00A456F0"/>
    <w:rsid w:val="00A50921"/>
    <w:rsid w:val="00A52C19"/>
    <w:rsid w:val="00A5594F"/>
    <w:rsid w:val="00A641AE"/>
    <w:rsid w:val="00A64487"/>
    <w:rsid w:val="00A704B4"/>
    <w:rsid w:val="00A7412C"/>
    <w:rsid w:val="00A763B8"/>
    <w:rsid w:val="00A80B44"/>
    <w:rsid w:val="00A8715F"/>
    <w:rsid w:val="00A87ED4"/>
    <w:rsid w:val="00A90EA8"/>
    <w:rsid w:val="00A92EB9"/>
    <w:rsid w:val="00AA45A9"/>
    <w:rsid w:val="00AA46CD"/>
    <w:rsid w:val="00AA5F85"/>
    <w:rsid w:val="00AB2A3A"/>
    <w:rsid w:val="00AB66B3"/>
    <w:rsid w:val="00AC0C92"/>
    <w:rsid w:val="00AC4184"/>
    <w:rsid w:val="00AC5A69"/>
    <w:rsid w:val="00AC6678"/>
    <w:rsid w:val="00AC6F3F"/>
    <w:rsid w:val="00AD10E6"/>
    <w:rsid w:val="00AD16F4"/>
    <w:rsid w:val="00AD2903"/>
    <w:rsid w:val="00AD39DA"/>
    <w:rsid w:val="00AD60D3"/>
    <w:rsid w:val="00AE06FF"/>
    <w:rsid w:val="00AE2167"/>
    <w:rsid w:val="00AE3148"/>
    <w:rsid w:val="00B01F60"/>
    <w:rsid w:val="00B02319"/>
    <w:rsid w:val="00B03600"/>
    <w:rsid w:val="00B05D63"/>
    <w:rsid w:val="00B06BBD"/>
    <w:rsid w:val="00B11830"/>
    <w:rsid w:val="00B125F4"/>
    <w:rsid w:val="00B126A5"/>
    <w:rsid w:val="00B14E85"/>
    <w:rsid w:val="00B20E11"/>
    <w:rsid w:val="00B219EC"/>
    <w:rsid w:val="00B27834"/>
    <w:rsid w:val="00B30DF7"/>
    <w:rsid w:val="00B42CB6"/>
    <w:rsid w:val="00B43106"/>
    <w:rsid w:val="00B47A1F"/>
    <w:rsid w:val="00B5094F"/>
    <w:rsid w:val="00B50A28"/>
    <w:rsid w:val="00B54D6C"/>
    <w:rsid w:val="00B56182"/>
    <w:rsid w:val="00B570F3"/>
    <w:rsid w:val="00B57FEA"/>
    <w:rsid w:val="00B70CA1"/>
    <w:rsid w:val="00B71DD6"/>
    <w:rsid w:val="00B72A66"/>
    <w:rsid w:val="00B92AB3"/>
    <w:rsid w:val="00B96F15"/>
    <w:rsid w:val="00BA0725"/>
    <w:rsid w:val="00BA0C03"/>
    <w:rsid w:val="00BA3D10"/>
    <w:rsid w:val="00BB17AB"/>
    <w:rsid w:val="00BB50C6"/>
    <w:rsid w:val="00BC06E5"/>
    <w:rsid w:val="00BD6E52"/>
    <w:rsid w:val="00BE5E65"/>
    <w:rsid w:val="00BE64B4"/>
    <w:rsid w:val="00BF171D"/>
    <w:rsid w:val="00BF468E"/>
    <w:rsid w:val="00C1144B"/>
    <w:rsid w:val="00C1285C"/>
    <w:rsid w:val="00C12A57"/>
    <w:rsid w:val="00C1463B"/>
    <w:rsid w:val="00C21CC0"/>
    <w:rsid w:val="00C22321"/>
    <w:rsid w:val="00C227AA"/>
    <w:rsid w:val="00C2416F"/>
    <w:rsid w:val="00C31ADB"/>
    <w:rsid w:val="00C34E93"/>
    <w:rsid w:val="00C35B51"/>
    <w:rsid w:val="00C40790"/>
    <w:rsid w:val="00C43BA0"/>
    <w:rsid w:val="00C44833"/>
    <w:rsid w:val="00C470C9"/>
    <w:rsid w:val="00C51225"/>
    <w:rsid w:val="00C5289A"/>
    <w:rsid w:val="00C60101"/>
    <w:rsid w:val="00C6236D"/>
    <w:rsid w:val="00C628A4"/>
    <w:rsid w:val="00C64722"/>
    <w:rsid w:val="00C65323"/>
    <w:rsid w:val="00C66498"/>
    <w:rsid w:val="00C671B3"/>
    <w:rsid w:val="00C67AEE"/>
    <w:rsid w:val="00C67B6D"/>
    <w:rsid w:val="00C73FF0"/>
    <w:rsid w:val="00C764B5"/>
    <w:rsid w:val="00C77AA5"/>
    <w:rsid w:val="00C81AC3"/>
    <w:rsid w:val="00C81C9D"/>
    <w:rsid w:val="00C83BE5"/>
    <w:rsid w:val="00C84D8B"/>
    <w:rsid w:val="00C86681"/>
    <w:rsid w:val="00C90F61"/>
    <w:rsid w:val="00C918D5"/>
    <w:rsid w:val="00C97263"/>
    <w:rsid w:val="00CA13C9"/>
    <w:rsid w:val="00CA653D"/>
    <w:rsid w:val="00CB0C05"/>
    <w:rsid w:val="00CB12DF"/>
    <w:rsid w:val="00CB383A"/>
    <w:rsid w:val="00CD3EB5"/>
    <w:rsid w:val="00CD4E7B"/>
    <w:rsid w:val="00CE2EFD"/>
    <w:rsid w:val="00CF0900"/>
    <w:rsid w:val="00CF381D"/>
    <w:rsid w:val="00CF7FAB"/>
    <w:rsid w:val="00D012AB"/>
    <w:rsid w:val="00D013C8"/>
    <w:rsid w:val="00D07737"/>
    <w:rsid w:val="00D077BE"/>
    <w:rsid w:val="00D116F6"/>
    <w:rsid w:val="00D135FE"/>
    <w:rsid w:val="00D231D2"/>
    <w:rsid w:val="00D23A11"/>
    <w:rsid w:val="00D25062"/>
    <w:rsid w:val="00D307CA"/>
    <w:rsid w:val="00D31E18"/>
    <w:rsid w:val="00D34868"/>
    <w:rsid w:val="00D36727"/>
    <w:rsid w:val="00D37325"/>
    <w:rsid w:val="00D37E86"/>
    <w:rsid w:val="00D43BD4"/>
    <w:rsid w:val="00D43E3C"/>
    <w:rsid w:val="00D44314"/>
    <w:rsid w:val="00D45A1C"/>
    <w:rsid w:val="00D45B42"/>
    <w:rsid w:val="00D54E1F"/>
    <w:rsid w:val="00D55A28"/>
    <w:rsid w:val="00D55DC2"/>
    <w:rsid w:val="00D72655"/>
    <w:rsid w:val="00D73B92"/>
    <w:rsid w:val="00D772ED"/>
    <w:rsid w:val="00D77574"/>
    <w:rsid w:val="00D8148C"/>
    <w:rsid w:val="00D84D4D"/>
    <w:rsid w:val="00D854FF"/>
    <w:rsid w:val="00D93460"/>
    <w:rsid w:val="00D94C39"/>
    <w:rsid w:val="00D95B7A"/>
    <w:rsid w:val="00D96AAD"/>
    <w:rsid w:val="00D96B1C"/>
    <w:rsid w:val="00D97129"/>
    <w:rsid w:val="00DA2FCF"/>
    <w:rsid w:val="00DA3619"/>
    <w:rsid w:val="00DA77B9"/>
    <w:rsid w:val="00DA7AAF"/>
    <w:rsid w:val="00DB2AF2"/>
    <w:rsid w:val="00DB3608"/>
    <w:rsid w:val="00DC2206"/>
    <w:rsid w:val="00DC4693"/>
    <w:rsid w:val="00DD1DE4"/>
    <w:rsid w:val="00DD2512"/>
    <w:rsid w:val="00DD38D3"/>
    <w:rsid w:val="00DF0819"/>
    <w:rsid w:val="00DF094A"/>
    <w:rsid w:val="00DF2DF7"/>
    <w:rsid w:val="00DF5409"/>
    <w:rsid w:val="00DF71C8"/>
    <w:rsid w:val="00DF7E05"/>
    <w:rsid w:val="00E020D3"/>
    <w:rsid w:val="00E03C0C"/>
    <w:rsid w:val="00E0744A"/>
    <w:rsid w:val="00E12165"/>
    <w:rsid w:val="00E1337B"/>
    <w:rsid w:val="00E143E8"/>
    <w:rsid w:val="00E1594C"/>
    <w:rsid w:val="00E169D9"/>
    <w:rsid w:val="00E17783"/>
    <w:rsid w:val="00E20EE5"/>
    <w:rsid w:val="00E22F48"/>
    <w:rsid w:val="00E2578D"/>
    <w:rsid w:val="00E304D8"/>
    <w:rsid w:val="00E3259B"/>
    <w:rsid w:val="00E32E04"/>
    <w:rsid w:val="00E3474B"/>
    <w:rsid w:val="00E3682E"/>
    <w:rsid w:val="00E40454"/>
    <w:rsid w:val="00E42994"/>
    <w:rsid w:val="00E43262"/>
    <w:rsid w:val="00E435BF"/>
    <w:rsid w:val="00E53091"/>
    <w:rsid w:val="00E544AF"/>
    <w:rsid w:val="00E61138"/>
    <w:rsid w:val="00E61632"/>
    <w:rsid w:val="00E61A4F"/>
    <w:rsid w:val="00E62287"/>
    <w:rsid w:val="00E6244E"/>
    <w:rsid w:val="00E6542B"/>
    <w:rsid w:val="00E67D8F"/>
    <w:rsid w:val="00E711C8"/>
    <w:rsid w:val="00E721EF"/>
    <w:rsid w:val="00E80306"/>
    <w:rsid w:val="00E836C2"/>
    <w:rsid w:val="00E83EEB"/>
    <w:rsid w:val="00E86682"/>
    <w:rsid w:val="00E93050"/>
    <w:rsid w:val="00E931E7"/>
    <w:rsid w:val="00EA1E54"/>
    <w:rsid w:val="00EA3E63"/>
    <w:rsid w:val="00EA4202"/>
    <w:rsid w:val="00EA4313"/>
    <w:rsid w:val="00EA4E4D"/>
    <w:rsid w:val="00EA64C2"/>
    <w:rsid w:val="00EB0D94"/>
    <w:rsid w:val="00EB6598"/>
    <w:rsid w:val="00EC2304"/>
    <w:rsid w:val="00EC2F03"/>
    <w:rsid w:val="00EC6570"/>
    <w:rsid w:val="00EE101E"/>
    <w:rsid w:val="00EE1F5C"/>
    <w:rsid w:val="00EE7F6C"/>
    <w:rsid w:val="00EF2B15"/>
    <w:rsid w:val="00EF62C6"/>
    <w:rsid w:val="00F001FE"/>
    <w:rsid w:val="00F008CC"/>
    <w:rsid w:val="00F01208"/>
    <w:rsid w:val="00F035C7"/>
    <w:rsid w:val="00F05855"/>
    <w:rsid w:val="00F06A3C"/>
    <w:rsid w:val="00F11C83"/>
    <w:rsid w:val="00F14642"/>
    <w:rsid w:val="00F15327"/>
    <w:rsid w:val="00F15645"/>
    <w:rsid w:val="00F15A96"/>
    <w:rsid w:val="00F25879"/>
    <w:rsid w:val="00F27621"/>
    <w:rsid w:val="00F41D4C"/>
    <w:rsid w:val="00F46AA0"/>
    <w:rsid w:val="00F54E65"/>
    <w:rsid w:val="00F56BC0"/>
    <w:rsid w:val="00F6168F"/>
    <w:rsid w:val="00F61DA5"/>
    <w:rsid w:val="00F6569B"/>
    <w:rsid w:val="00F702F0"/>
    <w:rsid w:val="00F712B5"/>
    <w:rsid w:val="00F73D81"/>
    <w:rsid w:val="00F73ECF"/>
    <w:rsid w:val="00F74603"/>
    <w:rsid w:val="00F7709B"/>
    <w:rsid w:val="00F83726"/>
    <w:rsid w:val="00F85D95"/>
    <w:rsid w:val="00FD2BCA"/>
    <w:rsid w:val="00FD39A7"/>
    <w:rsid w:val="00FE5D62"/>
    <w:rsid w:val="00FE60F7"/>
    <w:rsid w:val="00FE6AFA"/>
    <w:rsid w:val="00FF6B3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C158AC2"/>
  <w15:docId w15:val="{22C87019-D124-4A85-81CA-738BCE08A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64204"/>
    <w:pPr>
      <w:tabs>
        <w:tab w:val="center" w:pos="4536"/>
        <w:tab w:val="right" w:pos="9072"/>
      </w:tabs>
      <w:spacing w:after="0" w:line="240" w:lineRule="auto"/>
    </w:pPr>
  </w:style>
  <w:style w:type="character" w:customStyle="1" w:styleId="HeaderChar">
    <w:name w:val="Header Char"/>
    <w:basedOn w:val="DefaultParagraphFont"/>
    <w:link w:val="Header"/>
    <w:rsid w:val="00364204"/>
  </w:style>
  <w:style w:type="paragraph" w:styleId="Footer">
    <w:name w:val="footer"/>
    <w:basedOn w:val="Normal"/>
    <w:link w:val="FooterChar"/>
    <w:uiPriority w:val="99"/>
    <w:unhideWhenUsed/>
    <w:rsid w:val="00364204"/>
    <w:pPr>
      <w:tabs>
        <w:tab w:val="center" w:pos="4536"/>
        <w:tab w:val="right" w:pos="9072"/>
      </w:tabs>
      <w:spacing w:after="0" w:line="240" w:lineRule="auto"/>
    </w:pPr>
  </w:style>
  <w:style w:type="character" w:customStyle="1" w:styleId="FooterChar">
    <w:name w:val="Footer Char"/>
    <w:basedOn w:val="DefaultParagraphFont"/>
    <w:link w:val="Footer"/>
    <w:uiPriority w:val="99"/>
    <w:rsid w:val="00364204"/>
  </w:style>
  <w:style w:type="paragraph" w:styleId="FootnoteText">
    <w:name w:val="footnote text"/>
    <w:basedOn w:val="Normal"/>
    <w:link w:val="FootnoteTextChar"/>
    <w:uiPriority w:val="99"/>
    <w:unhideWhenUsed/>
    <w:rsid w:val="0082616B"/>
    <w:pPr>
      <w:spacing w:after="0" w:line="240" w:lineRule="auto"/>
    </w:pPr>
    <w:rPr>
      <w:sz w:val="20"/>
      <w:szCs w:val="20"/>
    </w:rPr>
  </w:style>
  <w:style w:type="character" w:customStyle="1" w:styleId="FootnoteTextChar">
    <w:name w:val="Footnote Text Char"/>
    <w:basedOn w:val="DefaultParagraphFont"/>
    <w:link w:val="FootnoteText"/>
    <w:uiPriority w:val="99"/>
    <w:rsid w:val="0082616B"/>
    <w:rPr>
      <w:sz w:val="20"/>
      <w:szCs w:val="20"/>
    </w:rPr>
  </w:style>
  <w:style w:type="paragraph" w:styleId="BalloonText">
    <w:name w:val="Balloon Text"/>
    <w:basedOn w:val="Normal"/>
    <w:link w:val="BalloonTextChar"/>
    <w:uiPriority w:val="99"/>
    <w:semiHidden/>
    <w:unhideWhenUsed/>
    <w:rsid w:val="007F4E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4E6D"/>
    <w:rPr>
      <w:rFonts w:ascii="Tahoma" w:hAnsi="Tahoma" w:cs="Tahoma"/>
      <w:sz w:val="16"/>
      <w:szCs w:val="16"/>
    </w:rPr>
  </w:style>
  <w:style w:type="paragraph" w:styleId="ListParagraph">
    <w:name w:val="List Paragraph"/>
    <w:basedOn w:val="Normal"/>
    <w:uiPriority w:val="34"/>
    <w:qFormat/>
    <w:rsid w:val="007F4E6D"/>
    <w:pPr>
      <w:ind w:left="720"/>
      <w:contextualSpacing/>
    </w:p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
    <w:basedOn w:val="DefaultParagraphFont"/>
    <w:unhideWhenUsed/>
    <w:qFormat/>
    <w:rsid w:val="000568E4"/>
    <w:rPr>
      <w:vertAlign w:val="superscript"/>
    </w:rPr>
  </w:style>
  <w:style w:type="character" w:styleId="CommentReference">
    <w:name w:val="annotation reference"/>
    <w:basedOn w:val="DefaultParagraphFont"/>
    <w:uiPriority w:val="99"/>
    <w:semiHidden/>
    <w:unhideWhenUsed/>
    <w:rsid w:val="006D243B"/>
    <w:rPr>
      <w:sz w:val="16"/>
      <w:szCs w:val="16"/>
    </w:rPr>
  </w:style>
  <w:style w:type="paragraph" w:styleId="CommentText">
    <w:name w:val="annotation text"/>
    <w:basedOn w:val="Normal"/>
    <w:link w:val="CommentTextChar"/>
    <w:uiPriority w:val="99"/>
    <w:semiHidden/>
    <w:unhideWhenUsed/>
    <w:rsid w:val="006D243B"/>
    <w:pPr>
      <w:spacing w:line="240" w:lineRule="auto"/>
    </w:pPr>
    <w:rPr>
      <w:sz w:val="20"/>
      <w:szCs w:val="20"/>
    </w:rPr>
  </w:style>
  <w:style w:type="character" w:customStyle="1" w:styleId="CommentTextChar">
    <w:name w:val="Comment Text Char"/>
    <w:basedOn w:val="DefaultParagraphFont"/>
    <w:link w:val="CommentText"/>
    <w:uiPriority w:val="99"/>
    <w:semiHidden/>
    <w:rsid w:val="006D243B"/>
    <w:rPr>
      <w:sz w:val="20"/>
      <w:szCs w:val="20"/>
    </w:rPr>
  </w:style>
  <w:style w:type="paragraph" w:styleId="CommentSubject">
    <w:name w:val="annotation subject"/>
    <w:basedOn w:val="CommentText"/>
    <w:next w:val="CommentText"/>
    <w:link w:val="CommentSubjectChar"/>
    <w:uiPriority w:val="99"/>
    <w:semiHidden/>
    <w:unhideWhenUsed/>
    <w:rsid w:val="006D243B"/>
    <w:rPr>
      <w:b/>
      <w:bCs/>
    </w:rPr>
  </w:style>
  <w:style w:type="character" w:customStyle="1" w:styleId="CommentSubjectChar">
    <w:name w:val="Comment Subject Char"/>
    <w:basedOn w:val="CommentTextChar"/>
    <w:link w:val="CommentSubject"/>
    <w:uiPriority w:val="99"/>
    <w:semiHidden/>
    <w:rsid w:val="006D243B"/>
    <w:rPr>
      <w:b/>
      <w:bCs/>
      <w:sz w:val="20"/>
      <w:szCs w:val="20"/>
    </w:rPr>
  </w:style>
  <w:style w:type="paragraph" w:styleId="Revision">
    <w:name w:val="Revision"/>
    <w:hidden/>
    <w:uiPriority w:val="99"/>
    <w:semiHidden/>
    <w:rsid w:val="00FE6AFA"/>
    <w:pPr>
      <w:spacing w:after="0" w:line="240" w:lineRule="auto"/>
    </w:pPr>
  </w:style>
  <w:style w:type="table" w:styleId="TableGrid">
    <w:name w:val="Table Grid"/>
    <w:basedOn w:val="TableNormal"/>
    <w:uiPriority w:val="59"/>
    <w:rsid w:val="00D25062"/>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2506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642678">
      <w:bodyDiv w:val="1"/>
      <w:marLeft w:val="0"/>
      <w:marRight w:val="0"/>
      <w:marTop w:val="0"/>
      <w:marBottom w:val="0"/>
      <w:divBdr>
        <w:top w:val="none" w:sz="0" w:space="0" w:color="auto"/>
        <w:left w:val="none" w:sz="0" w:space="0" w:color="auto"/>
        <w:bottom w:val="none" w:sz="0" w:space="0" w:color="auto"/>
        <w:right w:val="none" w:sz="0" w:space="0" w:color="auto"/>
      </w:divBdr>
      <w:divsChild>
        <w:div w:id="99640809">
          <w:marLeft w:val="0"/>
          <w:marRight w:val="0"/>
          <w:marTop w:val="0"/>
          <w:marBottom w:val="0"/>
          <w:divBdr>
            <w:top w:val="none" w:sz="0" w:space="0" w:color="auto"/>
            <w:left w:val="none" w:sz="0" w:space="0" w:color="auto"/>
            <w:bottom w:val="none" w:sz="0" w:space="0" w:color="auto"/>
            <w:right w:val="none" w:sz="0" w:space="0" w:color="auto"/>
          </w:divBdr>
        </w:div>
        <w:div w:id="104204302">
          <w:marLeft w:val="0"/>
          <w:marRight w:val="0"/>
          <w:marTop w:val="0"/>
          <w:marBottom w:val="0"/>
          <w:divBdr>
            <w:top w:val="none" w:sz="0" w:space="0" w:color="auto"/>
            <w:left w:val="none" w:sz="0" w:space="0" w:color="auto"/>
            <w:bottom w:val="none" w:sz="0" w:space="0" w:color="auto"/>
            <w:right w:val="none" w:sz="0" w:space="0" w:color="auto"/>
          </w:divBdr>
        </w:div>
        <w:div w:id="229772004">
          <w:marLeft w:val="0"/>
          <w:marRight w:val="0"/>
          <w:marTop w:val="0"/>
          <w:marBottom w:val="0"/>
          <w:divBdr>
            <w:top w:val="none" w:sz="0" w:space="0" w:color="auto"/>
            <w:left w:val="none" w:sz="0" w:space="0" w:color="auto"/>
            <w:bottom w:val="none" w:sz="0" w:space="0" w:color="auto"/>
            <w:right w:val="none" w:sz="0" w:space="0" w:color="auto"/>
          </w:divBdr>
        </w:div>
        <w:div w:id="286857325">
          <w:marLeft w:val="0"/>
          <w:marRight w:val="0"/>
          <w:marTop w:val="0"/>
          <w:marBottom w:val="0"/>
          <w:divBdr>
            <w:top w:val="none" w:sz="0" w:space="0" w:color="auto"/>
            <w:left w:val="none" w:sz="0" w:space="0" w:color="auto"/>
            <w:bottom w:val="none" w:sz="0" w:space="0" w:color="auto"/>
            <w:right w:val="none" w:sz="0" w:space="0" w:color="auto"/>
          </w:divBdr>
        </w:div>
        <w:div w:id="537279012">
          <w:marLeft w:val="0"/>
          <w:marRight w:val="0"/>
          <w:marTop w:val="0"/>
          <w:marBottom w:val="0"/>
          <w:divBdr>
            <w:top w:val="none" w:sz="0" w:space="0" w:color="auto"/>
            <w:left w:val="none" w:sz="0" w:space="0" w:color="auto"/>
            <w:bottom w:val="none" w:sz="0" w:space="0" w:color="auto"/>
            <w:right w:val="none" w:sz="0" w:space="0" w:color="auto"/>
          </w:divBdr>
        </w:div>
        <w:div w:id="668602160">
          <w:marLeft w:val="0"/>
          <w:marRight w:val="0"/>
          <w:marTop w:val="0"/>
          <w:marBottom w:val="0"/>
          <w:divBdr>
            <w:top w:val="none" w:sz="0" w:space="0" w:color="auto"/>
            <w:left w:val="none" w:sz="0" w:space="0" w:color="auto"/>
            <w:bottom w:val="none" w:sz="0" w:space="0" w:color="auto"/>
            <w:right w:val="none" w:sz="0" w:space="0" w:color="auto"/>
          </w:divBdr>
        </w:div>
        <w:div w:id="688332640">
          <w:marLeft w:val="0"/>
          <w:marRight w:val="0"/>
          <w:marTop w:val="0"/>
          <w:marBottom w:val="0"/>
          <w:divBdr>
            <w:top w:val="none" w:sz="0" w:space="0" w:color="auto"/>
            <w:left w:val="none" w:sz="0" w:space="0" w:color="auto"/>
            <w:bottom w:val="none" w:sz="0" w:space="0" w:color="auto"/>
            <w:right w:val="none" w:sz="0" w:space="0" w:color="auto"/>
          </w:divBdr>
        </w:div>
        <w:div w:id="823620529">
          <w:marLeft w:val="0"/>
          <w:marRight w:val="0"/>
          <w:marTop w:val="0"/>
          <w:marBottom w:val="0"/>
          <w:divBdr>
            <w:top w:val="none" w:sz="0" w:space="0" w:color="auto"/>
            <w:left w:val="none" w:sz="0" w:space="0" w:color="auto"/>
            <w:bottom w:val="none" w:sz="0" w:space="0" w:color="auto"/>
            <w:right w:val="none" w:sz="0" w:space="0" w:color="auto"/>
          </w:divBdr>
        </w:div>
        <w:div w:id="937908240">
          <w:marLeft w:val="0"/>
          <w:marRight w:val="0"/>
          <w:marTop w:val="0"/>
          <w:marBottom w:val="0"/>
          <w:divBdr>
            <w:top w:val="none" w:sz="0" w:space="0" w:color="auto"/>
            <w:left w:val="none" w:sz="0" w:space="0" w:color="auto"/>
            <w:bottom w:val="none" w:sz="0" w:space="0" w:color="auto"/>
            <w:right w:val="none" w:sz="0" w:space="0" w:color="auto"/>
          </w:divBdr>
        </w:div>
        <w:div w:id="1362900809">
          <w:marLeft w:val="0"/>
          <w:marRight w:val="0"/>
          <w:marTop w:val="0"/>
          <w:marBottom w:val="0"/>
          <w:divBdr>
            <w:top w:val="none" w:sz="0" w:space="0" w:color="auto"/>
            <w:left w:val="none" w:sz="0" w:space="0" w:color="auto"/>
            <w:bottom w:val="none" w:sz="0" w:space="0" w:color="auto"/>
            <w:right w:val="none" w:sz="0" w:space="0" w:color="auto"/>
          </w:divBdr>
        </w:div>
        <w:div w:id="1903515285">
          <w:marLeft w:val="0"/>
          <w:marRight w:val="0"/>
          <w:marTop w:val="0"/>
          <w:marBottom w:val="0"/>
          <w:divBdr>
            <w:top w:val="none" w:sz="0" w:space="0" w:color="auto"/>
            <w:left w:val="none" w:sz="0" w:space="0" w:color="auto"/>
            <w:bottom w:val="none" w:sz="0" w:space="0" w:color="auto"/>
            <w:right w:val="none" w:sz="0" w:space="0" w:color="auto"/>
          </w:divBdr>
        </w:div>
      </w:divsChild>
    </w:div>
    <w:div w:id="321273227">
      <w:bodyDiv w:val="1"/>
      <w:marLeft w:val="0"/>
      <w:marRight w:val="0"/>
      <w:marTop w:val="0"/>
      <w:marBottom w:val="0"/>
      <w:divBdr>
        <w:top w:val="none" w:sz="0" w:space="0" w:color="auto"/>
        <w:left w:val="none" w:sz="0" w:space="0" w:color="auto"/>
        <w:bottom w:val="none" w:sz="0" w:space="0" w:color="auto"/>
        <w:right w:val="none" w:sz="0" w:space="0" w:color="auto"/>
      </w:divBdr>
    </w:div>
    <w:div w:id="365717138">
      <w:bodyDiv w:val="1"/>
      <w:marLeft w:val="0"/>
      <w:marRight w:val="0"/>
      <w:marTop w:val="0"/>
      <w:marBottom w:val="0"/>
      <w:divBdr>
        <w:top w:val="none" w:sz="0" w:space="0" w:color="auto"/>
        <w:left w:val="none" w:sz="0" w:space="0" w:color="auto"/>
        <w:bottom w:val="none" w:sz="0" w:space="0" w:color="auto"/>
        <w:right w:val="none" w:sz="0" w:space="0" w:color="auto"/>
      </w:divBdr>
    </w:div>
    <w:div w:id="707724185">
      <w:bodyDiv w:val="1"/>
      <w:marLeft w:val="0"/>
      <w:marRight w:val="0"/>
      <w:marTop w:val="0"/>
      <w:marBottom w:val="0"/>
      <w:divBdr>
        <w:top w:val="none" w:sz="0" w:space="0" w:color="auto"/>
        <w:left w:val="none" w:sz="0" w:space="0" w:color="auto"/>
        <w:bottom w:val="none" w:sz="0" w:space="0" w:color="auto"/>
        <w:right w:val="none" w:sz="0" w:space="0" w:color="auto"/>
      </w:divBdr>
    </w:div>
    <w:div w:id="1021123324">
      <w:bodyDiv w:val="1"/>
      <w:marLeft w:val="0"/>
      <w:marRight w:val="0"/>
      <w:marTop w:val="0"/>
      <w:marBottom w:val="0"/>
      <w:divBdr>
        <w:top w:val="none" w:sz="0" w:space="0" w:color="auto"/>
        <w:left w:val="none" w:sz="0" w:space="0" w:color="auto"/>
        <w:bottom w:val="none" w:sz="0" w:space="0" w:color="auto"/>
        <w:right w:val="none" w:sz="0" w:space="0" w:color="auto"/>
      </w:divBdr>
    </w:div>
    <w:div w:id="1174419907">
      <w:bodyDiv w:val="1"/>
      <w:marLeft w:val="0"/>
      <w:marRight w:val="0"/>
      <w:marTop w:val="0"/>
      <w:marBottom w:val="0"/>
      <w:divBdr>
        <w:top w:val="none" w:sz="0" w:space="0" w:color="auto"/>
        <w:left w:val="none" w:sz="0" w:space="0" w:color="auto"/>
        <w:bottom w:val="none" w:sz="0" w:space="0" w:color="auto"/>
        <w:right w:val="none" w:sz="0" w:space="0" w:color="auto"/>
      </w:divBdr>
      <w:divsChild>
        <w:div w:id="2031442755">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301032151">
      <w:bodyDiv w:val="1"/>
      <w:marLeft w:val="0"/>
      <w:marRight w:val="0"/>
      <w:marTop w:val="0"/>
      <w:marBottom w:val="0"/>
      <w:divBdr>
        <w:top w:val="none" w:sz="0" w:space="0" w:color="auto"/>
        <w:left w:val="none" w:sz="0" w:space="0" w:color="auto"/>
        <w:bottom w:val="none" w:sz="0" w:space="0" w:color="auto"/>
        <w:right w:val="none" w:sz="0" w:space="0" w:color="auto"/>
      </w:divBdr>
    </w:div>
    <w:div w:id="1317223511">
      <w:bodyDiv w:val="1"/>
      <w:marLeft w:val="0"/>
      <w:marRight w:val="0"/>
      <w:marTop w:val="0"/>
      <w:marBottom w:val="0"/>
      <w:divBdr>
        <w:top w:val="none" w:sz="0" w:space="0" w:color="auto"/>
        <w:left w:val="none" w:sz="0" w:space="0" w:color="auto"/>
        <w:bottom w:val="none" w:sz="0" w:space="0" w:color="auto"/>
        <w:right w:val="none" w:sz="0" w:space="0" w:color="auto"/>
      </w:divBdr>
    </w:div>
    <w:div w:id="1341736129">
      <w:bodyDiv w:val="1"/>
      <w:marLeft w:val="0"/>
      <w:marRight w:val="0"/>
      <w:marTop w:val="0"/>
      <w:marBottom w:val="0"/>
      <w:divBdr>
        <w:top w:val="none" w:sz="0" w:space="0" w:color="auto"/>
        <w:left w:val="none" w:sz="0" w:space="0" w:color="auto"/>
        <w:bottom w:val="none" w:sz="0" w:space="0" w:color="auto"/>
        <w:right w:val="none" w:sz="0" w:space="0" w:color="auto"/>
      </w:divBdr>
    </w:div>
    <w:div w:id="1350257999">
      <w:bodyDiv w:val="1"/>
      <w:marLeft w:val="0"/>
      <w:marRight w:val="0"/>
      <w:marTop w:val="0"/>
      <w:marBottom w:val="0"/>
      <w:divBdr>
        <w:top w:val="none" w:sz="0" w:space="0" w:color="auto"/>
        <w:left w:val="none" w:sz="0" w:space="0" w:color="auto"/>
        <w:bottom w:val="none" w:sz="0" w:space="0" w:color="auto"/>
        <w:right w:val="none" w:sz="0" w:space="0" w:color="auto"/>
      </w:divBdr>
    </w:div>
    <w:div w:id="1437825411">
      <w:bodyDiv w:val="1"/>
      <w:marLeft w:val="0"/>
      <w:marRight w:val="0"/>
      <w:marTop w:val="0"/>
      <w:marBottom w:val="0"/>
      <w:divBdr>
        <w:top w:val="none" w:sz="0" w:space="0" w:color="auto"/>
        <w:left w:val="none" w:sz="0" w:space="0" w:color="auto"/>
        <w:bottom w:val="none" w:sz="0" w:space="0" w:color="auto"/>
        <w:right w:val="none" w:sz="0" w:space="0" w:color="auto"/>
      </w:divBdr>
    </w:div>
    <w:div w:id="1617516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DC16F4-810A-42BE-BE4D-3E4DE8FD8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11</Pages>
  <Words>3469</Words>
  <Characters>19778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Стела</dc:creator>
  <cp:lastModifiedBy>Anitsa Ruseva</cp:lastModifiedBy>
  <cp:revision>35</cp:revision>
  <cp:lastPrinted>2015-04-30T10:45:00Z</cp:lastPrinted>
  <dcterms:created xsi:type="dcterms:W3CDTF">2023-07-06T13:01:00Z</dcterms:created>
  <dcterms:modified xsi:type="dcterms:W3CDTF">2026-08-27T13:22:00Z</dcterms:modified>
</cp:coreProperties>
</file>